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14="http://schemas.microsoft.com/office/word/2010/wordml" xmlns:r="http://schemas.openxmlformats.org/officeDocument/2006/relationships" xmlns:w="http://schemas.openxmlformats.org/wordprocessingml/2006/main" xmlns:mc="http://schemas.openxmlformats.org/markup-compatibility/2006" mc:Ignorable="w14">
  <w:body>
    <w:p w14:paraId="6532D5FF">
      <w:pPr>
        <w:spacing w:before="3000" w:after="200"/>
        <w:jc w:val="left"/>
      </w:pPr>
      <w:r>
        <w:rPr>
          <w:rFonts w:ascii="Arial" w:hAnsi="Arial"/>
          <w:b w:val="1"/>
          <w:color w:val="1565C0"/>
          <w:sz w:val="18"/>
        </w:rPr>
        <w:t>TEST METHOD &amp; COMPLIANCE DOSSIER</w:t>
      </w:r>
    </w:p>
    <w:p w14:paraId="488004F7">
      <w:pPr>
        <w:pStyle w:val="000008"/>
        <w:spacing w:before="0" w:after="120" w:line="300" w:lineRule="auto"/>
        <w:jc w:val="left"/>
      </w:pPr>
      <w:r>
        <w:rPr>
          <w:rFonts w:ascii="Arial" w:hAnsi="Arial"/>
          <w:b w:val="1"/>
          <w:color w:val="14243F"/>
          <w:sz w:val="72"/>
        </w:rPr>
        <w:t>ANSI/ASHRAE 110</w:t>
      </w:r>
    </w:p>
    <w:p w14:paraId="46C935A1">
      <w:pPr>
        <w:spacing w:before="0" w:after="520" w:line="372" w:lineRule="auto"/>
        <w:jc w:val="left"/>
      </w:pPr>
      <w:r>
        <w:rPr>
          <w:rFonts w:ascii="Arial" w:hAnsi="Arial"/>
          <w:color w:val="1565C0"/>
          <w:sz w:val="30"/>
        </w:rPr>
        <w:t>Method of Testing Performance of Laboratory Fume Hoods</w:t>
      </w:r>
    </w:p>
    <w:p w14:paraId="10BFC40C">
      <w:pPr>
        <w:spacing w:before="0" w:after="160" w:line="372" w:lineRule="auto"/>
        <w:jc w:val="left"/>
      </w:pPr>
      <w:r>
        <w:rPr>
          <w:rFonts w:ascii="Calibri" w:hAnsi="Calibri"/>
          <w:color w:val="5F6368"/>
          <w:sz w:val="26"/>
        </w:rPr>
        <w:t>A test-method guide and compliance dossier for Deiiang fume hoods</w:t>
      </w:r>
    </w:p>
    <w:p w14:paraId="05248CB7">
      <w:pPr>
        <w:spacing w:before="0" w:after="0" w:line="372" w:lineRule="auto"/>
        <w:jc w:val="left"/>
      </w:pPr>
      <w:r>
        <w:rPr>
          <w:rFonts w:ascii="Calibri" w:hAnsi="Calibri"/>
          <w:color w:val="212121"/>
          <w:sz w:val="20"/>
        </w:rPr>
        <w:t>What each test measures, what instrument produces the number, and where the acceptance limits actually come from.</w:t>
      </w:r>
    </w:p>
    <w:p w14:paraId="5849C1FA">
      <w:pPr>
        <w:pBdr>
          <w:top w:val="single" w:color="1565C0" w:sz="8" w:space="0"/>
        </w:pBdr>
        <w:spacing w:before="2400" w:after="0"/>
        <w:jc w:val="left"/>
      </w:pPr>
      <w:r>
        <w:rPr>
          <w:rFonts w:ascii="Arial" w:hAnsi="Arial"/>
          <w:color w:val="5F6368"/>
          <w:sz w:val="18"/>
        </w:rPr>
        <w:t>Deiiang Cleanroom World · Laboratory Division   |   Edition 1.0 · October 2026</w:t>
      </w:r>
    </w:p>
    <w:p w14:paraId="7601E5ED">
      <w:pPr>
        <w:sectPr>
          <w:type w:val="nextPage"/>
          <w:pgSz w:w="11906" w:h="16838"/>
          <w:pgMar w:top="1361" w:right="1417" w:bottom="1247" w:left="1417"/>
        </w:sectPr>
      </w:pPr>
    </w:p>
    <w:p w14:paraId="0632DC59">
      <w:pPr>
        <w:spacing w:before="0" w:after="160"/>
        <w:jc w:val="left"/>
      </w:pPr>
      <w:r>
        <w:rPr>
          <w:rFonts w:ascii="Arial" w:hAnsi="Arial" w:eastAsia="Arial"/>
          <w:b w:val="1"/>
          <w:color w:val="1565C0"/>
          <w:sz w:val="18"/>
        </w:rPr>
        <w:t>CONTENTS</w:t>
      </w:r>
    </w:p>
    <w:p w14:paraId="0192D7DB">
      <w:r>
        <w:t>1. Purpose and scope</w:t>
      </w:r>
    </w:p>
    <w:p w14:paraId="4E766984">
      <w:r>
        <w:t>2. The standard in one page</w:t>
      </w:r>
    </w:p>
    <w:p w14:paraId="2C6C93C4">
      <w:r>
        <w:t>3. The three test states: AM, AI, AU</w:t>
      </w:r>
    </w:p>
    <w:p w14:paraId="3E322464">
      <w:r>
        <w:t>4. Test 1 — Face velocity</w:t>
      </w:r>
    </w:p>
    <w:p w14:paraId="66EFBF35">
      <w:r>
        <w:t>5. Test 2 — Flow visualisation</w:t>
      </w:r>
    </w:p>
    <w:p w14:paraId="08327449">
      <w:r>
        <w:t>6. Test 3 — Tracer gas containment</w:t>
      </w:r>
    </w:p>
    <w:p w14:paraId="58573B93">
      <w:r>
        <w:t>7. Acceptance criteria and the citation trap</w:t>
      </w:r>
    </w:p>
    <w:p w14:paraId="36ACCD5A">
      <w:r>
        <w:t>8. Deiiang product compliance matrix</w:t>
      </w:r>
    </w:p>
    <w:p w14:paraId="52E749A7">
      <w:r>
        <w:t>9. The control layer: why a test result is reproducible</w:t>
      </w:r>
    </w:p>
    <w:p w14:paraId="50F21091">
      <w:r>
        <w:t>10. As-installed commissioning: a twelve-step protocol</w:t>
      </w:r>
    </w:p>
    <w:p w14:paraId="3ED99FD7">
      <w:r>
        <w:t>11. As-used verification and the annual cycle</w:t>
      </w:r>
    </w:p>
    <w:p w14:paraId="613AA5F6">
      <w:r>
        <w:t>12. Why compliant hoods still leak</w:t>
      </w:r>
    </w:p>
    <w:p w14:paraId="7600C35C">
      <w:r>
        <w:t>13. What a defensible test report contains</w:t>
      </w:r>
    </w:p>
    <w:p w14:paraId="5B13B122">
      <w:r>
        <w:t>14. Limitations and honest notes</w:t>
      </w:r>
    </w:p>
    <w:p w14:paraId="1C49978B">
      <w:r>
        <w:t>15. References</w:t>
      </w:r>
    </w:p>
    <w:p w14:paraId="21D96A43">
      <w:r>
        <w:t>Appendix A — As-installed commissioning data sheet</w:t>
      </w:r>
    </w:p>
    <w:p w14:paraId="5100F334">
      <w:r>
        <w:t>Appendix B — Abbreviations</w:t>
      </w:r>
    </w:p>
    <w:p w14:paraId="28D95E07">
      <w:pPr>
        <w:pBdr>
          <w:left w:val="single" w:color="1565C0" w:sz="24" w:space="0"/>
        </w:pBdr>
        <w:shd w:val="clear" w:color="auto" w:fill="F3F6FA"/>
        <w:spacing w:before="0" w:after="240" w:line="372" w:lineRule="auto"/>
        <w:jc w:val="left"/>
      </w:pPr>
      <w:r>
        <w:rPr>
          <w:rFonts w:ascii="Calibri" w:hAnsi="Calibri"/>
          <w:color w:val="212121"/>
          <w:sz w:val="20"/>
        </w:rPr>
        <w:t>  </w:t>
      </w:r>
      <w:r>
        <w:rPr>
          <w:rFonts w:ascii="Calibri" w:hAnsi="Calibri"/>
          <w:b w:val="1"/>
          <w:color w:val="212121"/>
          <w:sz w:val="20"/>
        </w:rPr>
        <w:t>Summary.</w:t>
      </w:r>
      <w:r>
        <w:rPr>
          <w:rFonts w:ascii="Calibri" w:hAnsi="Calibri"/>
          <w:color w:val="212121"/>
          <w:sz w:val="20"/>
        </w:rPr>
        <w:t xml:space="preserve"> ASHRAE 110 measures three things and sets no pass mark. Face velocity screens; visualisation explains; tracer gas quantifies. The limits everyone quotes, 0.05 and 0.10 ppm, come from Z9.5, not from ASHRAE 110. This guide sets out the arithmetic, then shows which Deiiang design provision produces which result, what has been measured on the T3 platform, and how to commission a hood so the number still holds in year eight.</w:t>
      </w:r>
    </w:p>
    <w:tbl>
      <w:tblPr>
        <w:tblW w:w="5000" w:type="pct"/>
        <w:tblLayout w:type="autofit"/>
        <w:tblLook w:firstRow="1" w:lastRow="0" w:firstColumn="1" w:lastColumn="0" w:noHBand="0" w:noVBand="1" w:val="04A0"/>
      </w:tblPr>
      <w:tblGrid>
        <w:gridCol w:w="1901"/>
        <w:gridCol w:w="6739"/>
      </w:tblGrid>
      <w:tr>
        <w:trPr/>
        <w:tc>
          <w:tcPr>
            <w:tcW w:w="1100" w:type="pct"/>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6381B0F4">
            <w:pPr>
              <w:spacing w:before="42" w:after="42" w:line="240" w:lineRule="auto"/>
              <w:jc w:val="left"/>
            </w:pPr>
            <w:r>
              <w:rPr>
                <w:rFonts w:ascii="Arial" w:hAnsi="Arial" w:eastAsia="Arial"/>
                <w:b w:val="1"/>
                <w:color w:val="14243F"/>
                <w:sz w:val="17"/>
              </w:rPr>
              <w:t>Item</w:t>
            </w:r>
          </w:p>
        </w:tc>
        <w:tc>
          <w:tcPr>
            <w:tcW w:w="3900" w:type="pct"/>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EC8D4B8">
            <w:pPr>
              <w:spacing w:before="42" w:after="42" w:line="240" w:lineRule="auto"/>
              <w:jc w:val="left"/>
            </w:pPr>
            <w:r>
              <w:rPr>
                <w:rFonts w:ascii="Arial" w:hAnsi="Arial" w:eastAsia="Arial"/>
                <w:b w:val="1"/>
                <w:color w:val="14243F"/>
                <w:sz w:val="17"/>
              </w:rPr>
              <w:t>What this guide establishes</w:t>
            </w:r>
          </w:p>
        </w:tc>
      </w:tr>
      <w:tr>
        <w:trPr/>
        <w:tc>
          <w:tcPr>
            <w:tcW w:w="11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1FBF8B7">
            <w:pPr>
              <w:spacing w:before="33" w:after="33" w:line="240" w:lineRule="auto"/>
              <w:jc w:val="left"/>
            </w:pPr>
            <w:r>
              <w:rPr>
                <w:rFonts w:ascii="Calibri" w:hAnsi="Calibri" w:eastAsia="Calibri"/>
                <w:color w:val="212121"/>
                <w:sz w:val="17"/>
              </w:rPr>
              <w:t>Three tests, one response test</w:t>
            </w:r>
          </w:p>
        </w:tc>
        <w:tc>
          <w:tcPr>
            <w:tcW w:w="39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B243CB6">
            <w:pPr>
              <w:spacing w:before="33" w:after="33" w:line="240" w:lineRule="auto"/>
              <w:jc w:val="left"/>
            </w:pPr>
            <w:r>
              <w:rPr>
                <w:rFonts w:ascii="Calibri" w:hAnsi="Calibri" w:eastAsia="Calibri"/>
                <w:color w:val="212121"/>
                <w:sz w:val="17"/>
              </w:rPr>
              <w:t>Face velocity, flow visualisation, tracer gas containment, plus the sash movement effect test that exercises the VAV control loop</w:t>
            </w:r>
          </w:p>
        </w:tc>
      </w:tr>
      <w:tr>
        <w:trPr/>
        <w:tc>
          <w:tcPr>
            <w:tcW w:w="11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6E513EF">
            <w:pPr>
              <w:spacing w:before="33" w:after="33" w:line="240" w:lineRule="auto"/>
              <w:jc w:val="left"/>
            </w:pPr>
            <w:r>
              <w:rPr>
                <w:rFonts w:ascii="Calibri" w:hAnsi="Calibri" w:eastAsia="Calibri"/>
                <w:color w:val="212121"/>
                <w:sz w:val="17"/>
              </w:rPr>
              <w:t>Three test states</w:t>
            </w:r>
          </w:p>
        </w:tc>
        <w:tc>
          <w:tcPr>
            <w:tcW w:w="39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96EC35D">
            <w:pPr>
              <w:spacing w:before="33" w:after="33" w:line="240" w:lineRule="auto"/>
              <w:jc w:val="left"/>
            </w:pPr>
            <w:r>
              <w:rPr>
                <w:rFonts w:ascii="Calibri" w:hAnsi="Calibri" w:eastAsia="Calibri"/>
                <w:color w:val="212121"/>
                <w:sz w:val="17"/>
              </w:rPr>
              <w:t>AM, AI and AU answer three different questions and are performed by three different parties; AM results are not transferable to a project</w:t>
            </w:r>
          </w:p>
        </w:tc>
      </w:tr>
      <w:tr>
        <w:trPr/>
        <w:tc>
          <w:tcPr>
            <w:tcW w:w="11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AB72D41">
            <w:pPr>
              <w:spacing w:before="33" w:after="33" w:line="240" w:lineRule="auto"/>
              <w:jc w:val="left"/>
            </w:pPr>
            <w:r>
              <w:rPr>
                <w:rFonts w:ascii="Calibri" w:hAnsi="Calibri" w:eastAsia="Calibri"/>
                <w:color w:val="212121"/>
                <w:sz w:val="17"/>
              </w:rPr>
              <w:t>Control levels</w:t>
            </w:r>
          </w:p>
        </w:tc>
        <w:tc>
          <w:tcPr>
            <w:tcW w:w="39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1EC03A3">
            <w:pPr>
              <w:spacing w:before="33" w:after="33" w:line="240" w:lineRule="auto"/>
              <w:jc w:val="left"/>
            </w:pPr>
            <w:r>
              <w:rPr>
                <w:rFonts w:ascii="Calibri" w:hAnsi="Calibri" w:eastAsia="Calibri"/>
                <w:color w:val="212121"/>
                <w:sz w:val="17"/>
              </w:rPr>
              <w:t>AM 0.05 ppm; AI and AU 0.10 ppm, from Z9.5-2022 §3.4 — a report that omits the source is not auditable</w:t>
            </w:r>
          </w:p>
        </w:tc>
      </w:tr>
      <w:tr>
        <w:trPr/>
        <w:tc>
          <w:tcPr>
            <w:tcW w:w="11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56B2884">
            <w:pPr>
              <w:spacing w:before="33" w:after="33" w:line="240" w:lineRule="auto"/>
              <w:jc w:val="left"/>
            </w:pPr>
            <w:r>
              <w:rPr>
                <w:rFonts w:ascii="Calibri" w:hAnsi="Calibri" w:eastAsia="Calibri"/>
                <w:color w:val="212121"/>
                <w:sz w:val="17"/>
              </w:rPr>
              <w:t>Measured evidence</w:t>
            </w:r>
          </w:p>
        </w:tc>
        <w:tc>
          <w:tcPr>
            <w:tcW w:w="3900" w:type="pct"/>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5C8BBF2">
            <w:pPr>
              <w:spacing w:before="33" w:after="33" w:line="240" w:lineRule="auto"/>
              <w:jc w:val="left"/>
            </w:pPr>
            <w:r>
              <w:rPr>
                <w:rFonts w:ascii="Calibri" w:hAnsi="Calibri" w:eastAsia="Calibri"/>
                <w:color w:val="212121"/>
                <w:sz w:val="17"/>
              </w:rPr>
              <w:t>T3 platform: 0.50 m/s mean, 6.0 % uniformity, 41 Pa resistance, 0.00 ppm tracer at three positions, 0.00 ppm RA-Max</w:t>
            </w:r>
          </w:p>
        </w:tc>
      </w:tr>
    </w:tbl>
    <w:p w14:paraId="32A47277">
      <w:pPr>
        <w:pStyle w:val="00000a"/>
        <w:pBdr>
          <w:bottom w:val="single" w:color="1565C0" w:sz="9" w:space="0"/>
        </w:pBdr>
        <w:spacing w:before="400" w:after="160" w:line="300" w:lineRule="auto"/>
        <w:jc w:val="left"/>
      </w:pPr>
      <w:bookmarkStart w:id="1" w:name="section-1"/>
      <w:bookmarkEnd w:id="1"/>
      <w:r>
        <w:rPr>
          <w:rFonts w:ascii="Arial" w:hAnsi="Arial"/>
          <w:b w:val="1"/>
          <w:color w:val="14243F"/>
          <w:sz w:val="30"/>
        </w:rPr>
        <w:t>1. Purpose and scope</w:t>
      </w:r>
    </w:p>
    <w:p w14:paraId="0BC99A99">
      <w:pPr>
        <w:spacing w:before="0" w:after="120" w:line="372" w:lineRule="auto"/>
        <w:jc w:val="both"/>
      </w:pPr>
      <w:r>
        <w:rPr>
          <w:rFonts w:ascii="Calibri" w:hAnsi="Calibri"/>
          <w:color w:val="212121"/>
          <w:sz w:val="20"/>
        </w:rPr>
        <w:t>This section defines what the document covers, what it deliberately leaves out, and which edition of each reference it relies on.</w:t>
      </w:r>
    </w:p>
    <w:p w14:paraId="2577D0C1">
      <w:pPr>
        <w:pStyle w:val="00000c"/>
        <w:spacing w:before="280" w:after="100" w:line="300" w:lineRule="auto"/>
        <w:jc w:val="left"/>
      </w:pPr>
      <w:r>
        <w:rPr>
          <w:rFonts w:ascii="Arial" w:hAnsi="Arial"/>
          <w:b w:val="1"/>
          <w:color w:val="1565C0"/>
          <w:sz w:val="22"/>
        </w:rPr>
        <w:t>1.1 What this document is</w:t>
      </w:r>
    </w:p>
    <w:p w14:paraId="78AEACAC">
      <w:pPr>
        <w:spacing w:before="0" w:after="120" w:line="372" w:lineRule="auto"/>
        <w:jc w:val="both"/>
      </w:pPr>
      <w:r>
        <w:rPr>
          <w:rFonts w:ascii="Calibri" w:hAnsi="Calibri"/>
          <w:color w:val="212121"/>
          <w:sz w:val="20"/>
        </w:rPr>
        <w:t xml:space="preserve">This is an engineering guide to </w:t>
      </w:r>
      <w:r>
        <w:rPr>
          <w:rFonts w:ascii="Calibri" w:hAnsi="Calibri"/>
          <w:b w:val="1"/>
          <w:color w:val="212121"/>
          <w:sz w:val="20"/>
        </w:rPr>
        <w:t>ANSI/ASHRAE 110, Method of Testing Performance of Laboratory Fume Hoods</w:t>
      </w:r>
      <w:r>
        <w:rPr>
          <w:rFonts w:ascii="Calibri" w:hAnsi="Calibri"/>
          <w:color w:val="212121"/>
          <w:sz w:val="20"/>
        </w:rPr>
        <w:t>, written for the people who have to specify, commission, accept and periodically re-verify a fume hood rather than for the laboratory technician who simply uses one.</w:t>
      </w:r>
    </w:p>
    <w:p w14:paraId="20AF65B7">
      <w:pPr>
        <w:spacing w:before="0" w:after="120" w:line="372" w:lineRule="auto"/>
        <w:jc w:val="both"/>
      </w:pPr>
      <w:r>
        <w:rPr>
          <w:rFonts w:ascii="Calibri" w:hAnsi="Calibri"/>
          <w:color w:val="212121"/>
          <w:sz w:val="20"/>
        </w:rPr>
        <w:t>It explains what each of the three tests in the standard actually measures, what instrument produces the number, how the number is reduced to a reported figure, and where the acceptance limits come from — because they do not come from ASHRAE 110.</w:t>
      </w:r>
    </w:p>
    <w:p w14:paraId="5CC878D3">
      <w:pPr>
        <w:spacing w:before="0" w:after="120" w:line="372" w:lineRule="auto"/>
        <w:jc w:val="both"/>
      </w:pPr>
      <w:r>
        <w:rPr>
          <w:rFonts w:ascii="Calibri" w:hAnsi="Calibri"/>
          <w:color w:val="212121"/>
          <w:sz w:val="20"/>
        </w:rPr>
        <w:t xml:space="preserve">The second half of the document applies the method to the </w:t>
      </w:r>
      <w:r>
        <w:rPr>
          <w:rFonts w:ascii="Calibri" w:hAnsi="Calibri"/>
          <w:b w:val="1"/>
          <w:color w:val="212121"/>
          <w:sz w:val="20"/>
        </w:rPr>
        <w:t>Deiiang fume hood range</w:t>
      </w:r>
      <w:r>
        <w:rPr>
          <w:rFonts w:ascii="Calibri" w:hAnsi="Calibri"/>
          <w:color w:val="212121"/>
          <w:sz w:val="20"/>
        </w:rPr>
        <w:t>: which design feature of a given hood exists in order to produce a given test result, what measured data exists today, and what a project-specific test programme should look like from factory test through annual re-verification.</w:t>
      </w:r>
    </w:p>
    <w:p w14:paraId="0A65820E">
      <w:pPr>
        <w:pStyle w:val="00000c"/>
        <w:spacing w:before="280" w:after="100" w:line="300" w:lineRule="auto"/>
        <w:jc w:val="left"/>
      </w:pPr>
      <w:r>
        <w:rPr>
          <w:rFonts w:ascii="Arial" w:hAnsi="Arial"/>
          <w:b w:val="1"/>
          <w:color w:val="1565C0"/>
          <w:sz w:val="22"/>
        </w:rPr>
        <w:t>1.2 What ASHRAE 110 is — and what it is not</w:t>
      </w:r>
    </w:p>
    <w:p w14:paraId="76EA60C7">
      <w:pPr>
        <w:spacing w:before="0" w:after="120" w:line="372" w:lineRule="auto"/>
        <w:jc w:val="both"/>
      </w:pPr>
      <w:r>
        <w:rPr>
          <w:rFonts w:ascii="Calibri" w:hAnsi="Calibri"/>
          <w:color w:val="212121"/>
          <w:sz w:val="20"/>
        </w:rPr>
        <w:t xml:space="preserve">ASHRAE 110 is a </w:t>
      </w:r>
      <w:r>
        <w:rPr>
          <w:rFonts w:ascii="Calibri" w:hAnsi="Calibri"/>
          <w:b w:val="1"/>
          <w:color w:val="212121"/>
          <w:sz w:val="20"/>
        </w:rPr>
        <w:t>test method</w:t>
      </w:r>
      <w:r>
        <w:rPr>
          <w:rFonts w:ascii="Calibri" w:hAnsi="Calibri"/>
          <w:color w:val="212121"/>
          <w:sz w:val="20"/>
        </w:rPr>
        <w:t xml:space="preserve">. It prescribes apparatus, positions, release rates, sampling durations and the arithmetic by which raw readings become a reported containment figure. It deliberately does </w:t>
      </w:r>
      <w:r>
        <w:rPr>
          <w:rFonts w:ascii="Calibri" w:hAnsi="Calibri"/>
          <w:b w:val="1"/>
          <w:color w:val="212121"/>
          <w:sz w:val="20"/>
        </w:rPr>
        <w:t>not</w:t>
      </w:r>
      <w:r>
        <w:rPr>
          <w:rFonts w:ascii="Calibri" w:hAnsi="Calibri"/>
          <w:color w:val="212121"/>
          <w:sz w:val="20"/>
        </w:rPr>
        <w:t xml:space="preserve"> state a pass/fail threshold, because the acceptable leakage from a hood depends on the toxicity of what is handled inside it and on the exposure judgement of the responsible person.</w:t>
      </w:r>
    </w:p>
    <w:p w14:paraId="31B8051B">
      <w:pPr>
        <w:spacing w:before="0" w:after="120" w:line="372" w:lineRule="auto"/>
        <w:jc w:val="both"/>
      </w:pPr>
      <w:r>
        <w:rPr>
          <w:rFonts w:ascii="Calibri" w:hAnsi="Calibri"/>
          <w:color w:val="212121"/>
          <w:sz w:val="20"/>
        </w:rPr>
        <w:t xml:space="preserve">The thresholds normally quoted in specifications — 0.05 ppm as-manufactured, 0.10 ppm as-installed and as-used — come from </w:t>
      </w:r>
      <w:r>
        <w:rPr>
          <w:rFonts w:ascii="Calibri" w:hAnsi="Calibri"/>
          <w:b w:val="1"/>
          <w:color w:val="212121"/>
          <w:sz w:val="20"/>
        </w:rPr>
        <w:t>ANSI/ASHRAE/ASSP Z9.5, Laboratory Ventilation</w:t>
      </w:r>
      <w:r>
        <w:rPr>
          <w:rFonts w:ascii="Calibri" w:hAnsi="Calibri"/>
          <w:color w:val="212121"/>
          <w:sz w:val="20"/>
        </w:rPr>
        <w:t>, and in some markets from SEFA 1 or from the owner's own purchasing specification. A test report that says "passed ASHRAE 110" without naming the control level and its source is not auditable.</w:t>
      </w:r>
    </w:p>
    <w:p w14:paraId="38B12DCA">
      <w:pPr>
        <w:spacing w:before="0" w:after="120" w:line="372" w:lineRule="auto"/>
        <w:jc w:val="both"/>
      </w:pPr>
      <w:r>
        <w:rPr>
          <w:rFonts w:ascii="Calibri" w:hAnsi="Calibri"/>
          <w:color w:val="212121"/>
          <w:sz w:val="20"/>
        </w:rPr>
        <w:t>Section 7 of this guide deals with that citation trap in detail, because it is the single most common defect in fume hood acceptance documentation.</w:t>
      </w:r>
    </w:p>
    <w:p w14:paraId="507F83F6">
      <w:pPr>
        <w:pStyle w:val="00000c"/>
        <w:spacing w:before="280" w:after="100" w:line="300" w:lineRule="auto"/>
        <w:jc w:val="left"/>
      </w:pPr>
      <w:r>
        <w:rPr>
          <w:rFonts w:ascii="Arial" w:hAnsi="Arial"/>
          <w:b w:val="1"/>
          <w:color w:val="1565C0"/>
          <w:sz w:val="22"/>
        </w:rPr>
        <w:t>1.3 Who should read which part</w:t>
      </w:r>
    </w:p>
    <w:tbl>
      <w:tblPr>
        <w:tblW w:w="5000" w:type="pct"/>
        <w:tblLayout w:type="autofit"/>
        <w:tblLook w:firstRow="1" w:lastRow="0" w:firstColumn="1" w:lastColumn="0" w:noHBand="0" w:noVBand="1" w:val="04A0"/>
      </w:tblPr>
      <w:tblGrid>
        <w:gridCol w:w="4320"/>
        <w:gridCol w:w="4320"/>
      </w:tblGrid>
      <w:tr>
        <w:trPr/>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23EE382">
            <w:pPr>
              <w:spacing w:before="42" w:after="42" w:line="240" w:lineRule="auto"/>
              <w:jc w:val="left"/>
            </w:pPr>
            <w:r>
              <w:rPr>
                <w:rFonts w:ascii="Arial" w:hAnsi="Arial" w:eastAsia="Arial"/>
                <w:b w:val="1"/>
                <w:color w:val="14243F"/>
                <w:sz w:val="17"/>
              </w:rPr>
              <w:t>Reader</w:t>
            </w:r>
          </w:p>
        </w:tc>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96D828F">
            <w:pPr>
              <w:spacing w:before="42" w:after="42" w:line="240" w:lineRule="auto"/>
              <w:jc w:val="left"/>
            </w:pPr>
            <w:r>
              <w:rPr>
                <w:rFonts w:ascii="Arial" w:hAnsi="Arial" w:eastAsia="Arial"/>
                <w:b w:val="1"/>
                <w:color w:val="14243F"/>
                <w:sz w:val="17"/>
              </w:rPr>
              <w:t>Read</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29116CA">
            <w:pPr>
              <w:spacing w:before="33" w:after="33" w:line="240" w:lineRule="auto"/>
              <w:jc w:val="left"/>
            </w:pPr>
            <w:r>
              <w:rPr>
                <w:rFonts w:ascii="Calibri" w:hAnsi="Calibri" w:eastAsia="Calibri"/>
                <w:color w:val="212121"/>
                <w:sz w:val="17"/>
              </w:rPr>
              <w:t>Owner, EHS, chemical hygiene officer</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C371C6A">
            <w:pPr>
              <w:spacing w:before="33" w:after="33" w:line="240" w:lineRule="auto"/>
              <w:jc w:val="left"/>
            </w:pPr>
            <w:r>
              <w:rPr>
                <w:rFonts w:ascii="Calibri" w:hAnsi="Calibri" w:eastAsia="Calibri"/>
                <w:color w:val="212121"/>
                <w:sz w:val="17"/>
              </w:rPr>
              <w:t>2, 3, 7, 10, 11, 12</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548E4EF">
            <w:pPr>
              <w:spacing w:before="33" w:after="33" w:line="240" w:lineRule="auto"/>
              <w:jc w:val="left"/>
            </w:pPr>
            <w:r>
              <w:rPr>
                <w:rFonts w:ascii="Calibri" w:hAnsi="Calibri" w:eastAsia="Calibri"/>
                <w:color w:val="212121"/>
                <w:sz w:val="17"/>
              </w:rPr>
              <w:t>Design institute / consulting engineer</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A2A73C7">
            <w:pPr>
              <w:spacing w:before="33" w:after="33" w:line="240" w:lineRule="auto"/>
              <w:jc w:val="left"/>
            </w:pPr>
            <w:r>
              <w:rPr>
                <w:rFonts w:ascii="Calibri" w:hAnsi="Calibri" w:eastAsia="Calibri"/>
                <w:color w:val="212121"/>
                <w:sz w:val="17"/>
              </w:rPr>
              <w:t>2 to 8, 10, 13</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5E7CE14">
            <w:pPr>
              <w:spacing w:before="33" w:after="33" w:line="240" w:lineRule="auto"/>
              <w:jc w:val="left"/>
            </w:pPr>
            <w:r>
              <w:rPr>
                <w:rFonts w:ascii="Calibri" w:hAnsi="Calibri" w:eastAsia="Calibri"/>
                <w:color w:val="212121"/>
                <w:sz w:val="17"/>
              </w:rPr>
              <w:t>Procurement and tender evaluation</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948279A">
            <w:pPr>
              <w:spacing w:before="33" w:after="33" w:line="240" w:lineRule="auto"/>
              <w:jc w:val="left"/>
            </w:pPr>
            <w:r>
              <w:rPr>
                <w:rFonts w:ascii="Calibri" w:hAnsi="Calibri" w:eastAsia="Calibri"/>
                <w:color w:val="212121"/>
                <w:sz w:val="17"/>
              </w:rPr>
              <w:t>3, 7, 8, 13, Appendix A</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014964B">
            <w:pPr>
              <w:spacing w:before="33" w:after="33" w:line="240" w:lineRule="auto"/>
              <w:jc w:val="left"/>
            </w:pPr>
            <w:r>
              <w:rPr>
                <w:rFonts w:ascii="Calibri" w:hAnsi="Calibri" w:eastAsia="Calibri"/>
                <w:color w:val="212121"/>
                <w:sz w:val="17"/>
              </w:rPr>
              <w:t>Commissioning and test agency</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237B43E">
            <w:pPr>
              <w:spacing w:before="33" w:after="33" w:line="240" w:lineRule="auto"/>
              <w:jc w:val="left"/>
            </w:pPr>
            <w:r>
              <w:rPr>
                <w:rFonts w:ascii="Calibri" w:hAnsi="Calibri" w:eastAsia="Calibri"/>
                <w:color w:val="212121"/>
                <w:sz w:val="17"/>
              </w:rPr>
              <w:t>4 to 7, 10, 13, Appendix A</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B7828DF">
            <w:pPr>
              <w:spacing w:before="33" w:after="33" w:line="240" w:lineRule="auto"/>
              <w:jc w:val="left"/>
            </w:pPr>
            <w:r>
              <w:rPr>
                <w:rFonts w:ascii="Calibri" w:hAnsi="Calibri" w:eastAsia="Calibri"/>
                <w:color w:val="212121"/>
                <w:sz w:val="17"/>
              </w:rPr>
              <w:t>Distributor and export sales</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EFA21C7">
            <w:pPr>
              <w:spacing w:before="33" w:after="33" w:line="240" w:lineRule="auto"/>
              <w:jc w:val="left"/>
            </w:pPr>
            <w:r>
              <w:rPr>
                <w:rFonts w:ascii="Calibri" w:hAnsi="Calibri" w:eastAsia="Calibri"/>
                <w:color w:val="212121"/>
                <w:sz w:val="17"/>
              </w:rPr>
              <w:t>1, 2, 8, 9, 12</w:t>
            </w:r>
          </w:p>
        </w:tc>
      </w:tr>
    </w:tbl>
    <w:p w14:paraId="03383F90">
      <w:pPr>
        <w:pStyle w:val="00000c"/>
        <w:spacing w:before="280" w:after="100" w:line="300" w:lineRule="auto"/>
        <w:jc w:val="left"/>
      </w:pPr>
      <w:r>
        <w:rPr>
          <w:rFonts w:ascii="Arial" w:hAnsi="Arial"/>
          <w:b w:val="1"/>
          <w:color w:val="1565C0"/>
          <w:sz w:val="22"/>
        </w:rPr>
        <w:t>1.4 Normative references used</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C97A703">
            <w:pPr>
              <w:spacing w:before="42" w:after="42" w:line="240" w:lineRule="auto"/>
              <w:jc w:val="left"/>
            </w:pPr>
            <w:r>
              <w:rPr>
                <w:rFonts w:ascii="Arial" w:hAnsi="Arial" w:eastAsia="Arial"/>
                <w:b w:val="1"/>
                <w:color w:val="14243F"/>
                <w:sz w:val="17"/>
              </w:rPr>
              <w:t>Reference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1EADEDE2">
            <w:pPr>
              <w:spacing w:before="42" w:after="42" w:line="240" w:lineRule="auto"/>
              <w:jc w:val="left"/>
            </w:pPr>
            <w:r>
              <w:rPr>
                <w:rFonts w:ascii="Arial" w:hAnsi="Arial" w:eastAsia="Arial"/>
                <w:b w:val="1"/>
                <w:color w:val="14243F"/>
                <w:sz w:val="17"/>
              </w:rPr>
              <w:t>Edition used here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193A24F">
            <w:pPr>
              <w:spacing w:before="42" w:after="42" w:line="240" w:lineRule="auto"/>
              <w:jc w:val="left"/>
            </w:pPr>
            <w:r>
              <w:rPr>
                <w:rFonts w:ascii="Arial" w:hAnsi="Arial" w:eastAsia="Arial"/>
                <w:b w:val="1"/>
                <w:color w:val="14243F"/>
                <w:sz w:val="17"/>
              </w:rPr>
              <w:t>Role in this document</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1B11364">
            <w:pPr>
              <w:spacing w:before="33" w:after="33" w:line="240" w:lineRule="auto"/>
              <w:jc w:val="left"/>
            </w:pPr>
            <w:r>
              <w:rPr>
                <w:rFonts w:ascii="Calibri" w:hAnsi="Calibri" w:eastAsia="Calibri"/>
                <w:color w:val="212121"/>
                <w:sz w:val="17"/>
              </w:rPr>
              <w:t>ANSI/ASHRAE 110</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F5F49B6">
            <w:pPr>
              <w:spacing w:before="33" w:after="33" w:line="240" w:lineRule="auto"/>
              <w:jc w:val="left"/>
            </w:pPr>
            <w:r>
              <w:rPr>
                <w:rFonts w:ascii="Calibri" w:hAnsi="Calibri" w:eastAsia="Calibri"/>
                <w:color w:val="212121"/>
                <w:sz w:val="17"/>
              </w:rPr>
              <w:t>2016, with published addenda</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002EF52">
            <w:pPr>
              <w:spacing w:before="33" w:after="33" w:line="240" w:lineRule="auto"/>
              <w:jc w:val="left"/>
            </w:pPr>
            <w:r>
              <w:rPr>
                <w:rFonts w:ascii="Calibri" w:hAnsi="Calibri" w:eastAsia="Calibri"/>
                <w:color w:val="212121"/>
                <w:sz w:val="17"/>
              </w:rPr>
              <w:t>The test method itself</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ADA2EDD">
            <w:pPr>
              <w:spacing w:before="33" w:after="33" w:line="240" w:lineRule="auto"/>
              <w:jc w:val="left"/>
            </w:pPr>
            <w:r>
              <w:rPr>
                <w:rFonts w:ascii="Calibri" w:hAnsi="Calibri" w:eastAsia="Calibri"/>
                <w:color w:val="212121"/>
                <w:sz w:val="17"/>
              </w:rPr>
              <w:t>ANSI/ASHRAE/ASSP Z9.5</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FB13C7C">
            <w:pPr>
              <w:spacing w:before="33" w:after="33" w:line="240" w:lineRule="auto"/>
              <w:jc w:val="left"/>
            </w:pPr>
            <w:r>
              <w:rPr>
                <w:rFonts w:ascii="Calibri" w:hAnsi="Calibri" w:eastAsia="Calibri"/>
                <w:color w:val="212121"/>
                <w:sz w:val="17"/>
              </w:rPr>
              <w:t>2022</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838DCD0">
            <w:pPr>
              <w:spacing w:before="33" w:after="33" w:line="240" w:lineRule="auto"/>
              <w:jc w:val="left"/>
            </w:pPr>
            <w:r>
              <w:rPr>
                <w:rFonts w:ascii="Calibri" w:hAnsi="Calibri" w:eastAsia="Calibri"/>
                <w:color w:val="212121"/>
                <w:sz w:val="17"/>
              </w:rPr>
              <w:t>Control levels, design face velocity, routine testing</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83A345E">
            <w:pPr>
              <w:spacing w:before="33" w:after="33" w:line="240" w:lineRule="auto"/>
              <w:jc w:val="left"/>
            </w:pPr>
            <w:r>
              <w:rPr>
                <w:rFonts w:ascii="Calibri" w:hAnsi="Calibri" w:eastAsia="Calibri"/>
                <w:color w:val="212121"/>
                <w:sz w:val="17"/>
              </w:rPr>
              <w:t>SEFA 1</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FCA8868">
            <w:pPr>
              <w:spacing w:before="33" w:after="33" w:line="240" w:lineRule="auto"/>
              <w:jc w:val="left"/>
            </w:pPr>
            <w:r>
              <w:rPr>
                <w:rFonts w:ascii="Calibri" w:hAnsi="Calibri" w:eastAsia="Calibri"/>
                <w:color w:val="212121"/>
                <w:sz w:val="17"/>
              </w:rPr>
              <w:t>Current edition</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F91669C">
            <w:pPr>
              <w:spacing w:before="33" w:after="33" w:line="240" w:lineRule="auto"/>
              <w:jc w:val="left"/>
            </w:pPr>
            <w:r>
              <w:rPr>
                <w:rFonts w:ascii="Calibri" w:hAnsi="Calibri" w:eastAsia="Calibri"/>
                <w:color w:val="212121"/>
                <w:sz w:val="17"/>
              </w:rPr>
              <w:t>AM testing obligation, cross-draft guidance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FBAB5B8">
            <w:pPr>
              <w:spacing w:before="33" w:after="33" w:line="240" w:lineRule="auto"/>
              <w:jc w:val="left"/>
            </w:pPr>
            <w:r>
              <w:rPr>
                <w:rFonts w:ascii="Calibri" w:hAnsi="Calibri" w:eastAsia="Calibri"/>
                <w:color w:val="212121"/>
                <w:sz w:val="17"/>
              </w:rPr>
              <w:t>EN 14175-2 / -3</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61C52FB">
            <w:pPr>
              <w:spacing w:before="33" w:after="33" w:line="240" w:lineRule="auto"/>
              <w:jc w:val="left"/>
            </w:pPr>
            <w:r>
              <w:rPr>
                <w:rFonts w:ascii="Calibri" w:hAnsi="Calibri" w:eastAsia="Calibri"/>
                <w:color w:val="212121"/>
                <w:sz w:val="17"/>
              </w:rPr>
              <w:t>2003 / 2006</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906AD1B">
            <w:pPr>
              <w:spacing w:before="33" w:after="33" w:line="240" w:lineRule="auto"/>
              <w:jc w:val="left"/>
            </w:pPr>
            <w:r>
              <w:rPr>
                <w:rFonts w:ascii="Calibri" w:hAnsi="Calibri" w:eastAsia="Calibri"/>
                <w:color w:val="212121"/>
                <w:sz w:val="17"/>
              </w:rPr>
              <w:t>European counterpart, for cross-market comparison</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2017EF1">
            <w:pPr>
              <w:spacing w:before="33" w:after="33" w:line="240" w:lineRule="auto"/>
              <w:jc w:val="left"/>
            </w:pPr>
            <w:r>
              <w:rPr>
                <w:rFonts w:ascii="Calibri" w:hAnsi="Calibri" w:eastAsia="Calibri"/>
                <w:color w:val="212121"/>
                <w:sz w:val="17"/>
              </w:rPr>
              <w:t>JGJ 91-2019</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5CAEF48">
            <w:pPr>
              <w:spacing w:before="33" w:after="33" w:line="240" w:lineRule="auto"/>
              <w:jc w:val="left"/>
            </w:pPr>
            <w:r>
              <w:rPr>
                <w:rFonts w:ascii="Calibri" w:hAnsi="Calibri" w:eastAsia="Calibri"/>
                <w:color w:val="212121"/>
                <w:sz w:val="17"/>
              </w:rPr>
              <w:t>2019</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7387510">
            <w:pPr>
              <w:spacing w:before="33" w:after="33" w:line="240" w:lineRule="auto"/>
              <w:jc w:val="left"/>
            </w:pPr>
            <w:r>
              <w:rPr>
                <w:rFonts w:ascii="Calibri" w:hAnsi="Calibri" w:eastAsia="Calibri"/>
                <w:color w:val="212121"/>
                <w:sz w:val="17"/>
              </w:rPr>
              <w:t>Chinese tiered face velocity values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737C414">
            <w:pPr>
              <w:spacing w:before="33" w:after="33" w:line="240" w:lineRule="auto"/>
              <w:jc w:val="left"/>
            </w:pPr>
            <w:r>
              <w:rPr>
                <w:rFonts w:ascii="Calibri" w:hAnsi="Calibri" w:eastAsia="Calibri"/>
                <w:color w:val="212121"/>
                <w:sz w:val="17"/>
              </w:rPr>
              <w:t>GB/T 24820-2024</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A6722F5">
            <w:pPr>
              <w:spacing w:before="33" w:after="33" w:line="240" w:lineRule="auto"/>
              <w:jc w:val="left"/>
            </w:pPr>
            <w:r>
              <w:rPr>
                <w:rFonts w:ascii="Calibri" w:hAnsi="Calibri" w:eastAsia="Calibri"/>
                <w:color w:val="212121"/>
                <w:sz w:val="17"/>
              </w:rPr>
              <w:t>2024</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458EDAF">
            <w:pPr>
              <w:spacing w:before="33" w:after="33" w:line="240" w:lineRule="auto"/>
              <w:jc w:val="left"/>
            </w:pPr>
            <w:r>
              <w:rPr>
                <w:rFonts w:ascii="Calibri" w:hAnsi="Calibri" w:eastAsia="Calibri"/>
                <w:color w:val="212121"/>
                <w:sz w:val="17"/>
              </w:rPr>
              <w:t>Chinese laboratory furniture safety standard</w:t>
            </w:r>
          </w:p>
        </w:tc>
      </w:tr>
    </w:tbl>
    <w:p w14:paraId="0936A528">
      <w:pPr>
        <w:spacing w:before="0" w:after="120" w:line="372" w:lineRule="auto"/>
        <w:jc w:val="both"/>
      </w:pPr>
      <w:r>
        <w:rPr>
          <w:rFonts w:ascii="Calibri" w:hAnsi="Calibri"/>
          <w:color w:val="212121"/>
          <w:sz w:val="20"/>
        </w:rPr>
        <w:t>Where the editions differ, the contract should name the edition. "ASHRAE 110" unqualified is an ambiguous specification.</w:t>
      </w:r>
    </w:p>
    <w:p w14:paraId="5CCAA8C7">
      <w:pPr>
        <w:pStyle w:val="00000a"/>
        <w:pBdr>
          <w:bottom w:val="single" w:color="1565C0" w:sz="9" w:space="0"/>
        </w:pBdr>
        <w:spacing w:before="400" w:after="160" w:line="300" w:lineRule="auto"/>
        <w:jc w:val="left"/>
      </w:pPr>
      <w:bookmarkStart w:id="2" w:name="section-2"/>
      <w:bookmarkEnd w:id="2"/>
      <w:r>
        <w:rPr>
          <w:rFonts w:ascii="Arial" w:hAnsi="Arial"/>
          <w:b w:val="1"/>
          <w:color w:val="14243F"/>
          <w:sz w:val="30"/>
        </w:rPr>
        <w:t>2. The standard in one page</w:t>
      </w:r>
    </w:p>
    <w:p w14:paraId="3023067A">
      <w:pPr>
        <w:spacing w:before="0" w:after="120" w:line="372" w:lineRule="auto"/>
        <w:jc w:val="both"/>
      </w:pPr>
      <w:r>
        <w:rPr>
          <w:rFonts w:ascii="Calibri" w:hAnsi="Calibri"/>
          <w:color w:val="212121"/>
          <w:sz w:val="20"/>
        </w:rPr>
        <w:t>ASHRAE 110 contains three tests, run in a fixed order, plus one conditional response test. Everything else in the standard is apparatus definition and reporting discipline.</w:t>
      </w:r>
    </w:p>
    <w:tbl>
      <w:tblPr>
        <w:tblW w:w="5000" w:type="pct"/>
        <w:tblLayout w:type="autofit"/>
        <w:tblLook w:firstRow="1" w:lastRow="0" w:firstColumn="1" w:lastColumn="0" w:noHBand="0" w:noVBand="1" w:val="04A0"/>
      </w:tblPr>
      <w:tblGrid>
        <w:gridCol w:w="2160"/>
        <w:gridCol w:w="2160"/>
        <w:gridCol w:w="2160"/>
        <w:gridCol w:w="2160"/>
      </w:tblGrid>
      <w:tr>
        <w:trPr/>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DDBE5DD">
            <w:pPr>
              <w:spacing w:before="42" w:after="42" w:line="240" w:lineRule="auto"/>
              <w:jc w:val="left"/>
            </w:pPr>
            <w:r>
              <w:rPr>
                <w:rFonts w:ascii="Arial" w:hAnsi="Arial" w:eastAsia="Arial"/>
                <w:b w:val="1"/>
                <w:color w:val="14243F"/>
                <w:sz w:val="17"/>
              </w:rPr>
              <w:t>Test</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1D01B2F1">
            <w:pPr>
              <w:spacing w:before="42" w:after="42" w:line="240" w:lineRule="auto"/>
              <w:jc w:val="left"/>
            </w:pPr>
            <w:r>
              <w:rPr>
                <w:rFonts w:ascii="Arial" w:hAnsi="Arial" w:eastAsia="Arial"/>
                <w:b w:val="1"/>
                <w:color w:val="14243F"/>
                <w:sz w:val="17"/>
              </w:rPr>
              <w:t>What it measures</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0B42403">
            <w:pPr>
              <w:spacing w:before="42" w:after="42" w:line="240" w:lineRule="auto"/>
              <w:jc w:val="left"/>
            </w:pPr>
            <w:r>
              <w:rPr>
                <w:rFonts w:ascii="Arial" w:hAnsi="Arial" w:eastAsia="Arial"/>
                <w:b w:val="1"/>
                <w:color w:val="14243F"/>
                <w:sz w:val="17"/>
              </w:rPr>
              <w:t>Instrument</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86F027D">
            <w:pPr>
              <w:spacing w:before="42" w:after="42" w:line="240" w:lineRule="auto"/>
              <w:jc w:val="left"/>
            </w:pPr>
            <w:r>
              <w:rPr>
                <w:rFonts w:ascii="Arial" w:hAnsi="Arial" w:eastAsia="Arial"/>
                <w:b w:val="1"/>
                <w:color w:val="14243F"/>
                <w:sz w:val="17"/>
              </w:rPr>
              <w:t>Reported as</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4CD4A75">
            <w:pPr>
              <w:spacing w:before="33" w:after="33" w:line="240" w:lineRule="auto"/>
              <w:jc w:val="left"/>
            </w:pPr>
            <w:r>
              <w:rPr>
                <w:rFonts w:ascii="Calibri" w:hAnsi="Calibri" w:eastAsia="Calibri"/>
                <w:color w:val="212121"/>
                <w:sz w:val="17"/>
              </w:rPr>
              <w:t>Face velocity</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4DF4EB7">
            <w:pPr>
              <w:spacing w:before="33" w:after="33" w:line="240" w:lineRule="auto"/>
              <w:jc w:val="left"/>
            </w:pPr>
            <w:r>
              <w:rPr>
                <w:rFonts w:ascii="Calibri" w:hAnsi="Calibri" w:eastAsia="Calibri"/>
                <w:color w:val="212121"/>
                <w:sz w:val="17"/>
              </w:rPr>
              <w:t>Mean and distribution of air speed across the working opening</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2143BB4">
            <w:pPr>
              <w:spacing w:before="33" w:after="33" w:line="240" w:lineRule="auto"/>
              <w:jc w:val="left"/>
            </w:pPr>
            <w:r>
              <w:rPr>
                <w:rFonts w:ascii="Calibri" w:hAnsi="Calibri" w:eastAsia="Calibri"/>
                <w:color w:val="212121"/>
                <w:sz w:val="17"/>
              </w:rPr>
              <w:t>Calibrated thermal anemometer on a grid</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B5EFD89">
            <w:pPr>
              <w:spacing w:before="33" w:after="33" w:line="240" w:lineRule="auto"/>
              <w:jc w:val="left"/>
            </w:pPr>
            <w:r>
              <w:rPr>
                <w:rFonts w:ascii="Calibri" w:hAnsi="Calibri" w:eastAsia="Calibri"/>
                <w:color w:val="212121"/>
                <w:sz w:val="17"/>
              </w:rPr>
              <w:t>Mean m/s, per-point values, uniformity</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F26F477">
            <w:pPr>
              <w:spacing w:before="33" w:after="33" w:line="240" w:lineRule="auto"/>
              <w:jc w:val="left"/>
            </w:pPr>
            <w:r>
              <w:rPr>
                <w:rFonts w:ascii="Calibri" w:hAnsi="Calibri" w:eastAsia="Calibri"/>
                <w:color w:val="212121"/>
                <w:sz w:val="17"/>
              </w:rPr>
              <w:t>Flow visualisation</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CCACA32">
            <w:pPr>
              <w:spacing w:before="33" w:after="33" w:line="240" w:lineRule="auto"/>
              <w:jc w:val="left"/>
            </w:pPr>
            <w:r>
              <w:rPr>
                <w:rFonts w:ascii="Calibri" w:hAnsi="Calibri" w:eastAsia="Calibri"/>
                <w:color w:val="212121"/>
                <w:sz w:val="17"/>
              </w:rPr>
              <w:t>Qualitative containment and airflow pattern</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A2F3BA0">
            <w:pPr>
              <w:spacing w:before="33" w:after="33" w:line="240" w:lineRule="auto"/>
              <w:jc w:val="left"/>
            </w:pPr>
            <w:r>
              <w:rPr>
                <w:rFonts w:ascii="Calibri" w:hAnsi="Calibri" w:eastAsia="Calibri"/>
                <w:color w:val="212121"/>
                <w:sz w:val="17"/>
              </w:rPr>
              <w:t>TiCl₄ stick and smoke generator</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5CB501D">
            <w:pPr>
              <w:spacing w:before="33" w:after="33" w:line="240" w:lineRule="auto"/>
              <w:jc w:val="left"/>
            </w:pPr>
            <w:r>
              <w:rPr>
                <w:rFonts w:ascii="Calibri" w:hAnsi="Calibri" w:eastAsia="Calibri"/>
                <w:color w:val="212121"/>
                <w:sz w:val="17"/>
              </w:rPr>
              <w:t>Pass / fail by observation, clearance time</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16E4799">
            <w:pPr>
              <w:spacing w:before="33" w:after="33" w:line="240" w:lineRule="auto"/>
              <w:jc w:val="left"/>
            </w:pPr>
            <w:r>
              <w:rPr>
                <w:rFonts w:ascii="Calibri" w:hAnsi="Calibri" w:eastAsia="Calibri"/>
                <w:color w:val="212121"/>
                <w:sz w:val="17"/>
              </w:rPr>
              <w:t>Tracer gas containment</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0EC0ACC">
            <w:pPr>
              <w:spacing w:before="33" w:after="33" w:line="240" w:lineRule="auto"/>
              <w:jc w:val="left"/>
            </w:pPr>
            <w:r>
              <w:rPr>
                <w:rFonts w:ascii="Calibri" w:hAnsi="Calibri" w:eastAsia="Calibri"/>
                <w:color w:val="212121"/>
                <w:sz w:val="17"/>
              </w:rPr>
              <w:t>Quantitative leakage to the breathing zone</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0F52803">
            <w:pPr>
              <w:spacing w:before="33" w:after="33" w:line="240" w:lineRule="auto"/>
              <w:jc w:val="left"/>
            </w:pPr>
            <w:r>
              <w:rPr>
                <w:rFonts w:ascii="Calibri" w:hAnsi="Calibri" w:eastAsia="Calibri"/>
                <w:color w:val="212121"/>
                <w:sz w:val="17"/>
              </w:rPr>
              <w:t>SF₆ ejector, manikin, gas analyser</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BA5EC40">
            <w:pPr>
              <w:spacing w:before="33" w:after="33" w:line="240" w:lineRule="auto"/>
              <w:jc w:val="left"/>
            </w:pPr>
            <w:r>
              <w:rPr>
                <w:rFonts w:ascii="Calibri" w:hAnsi="Calibri" w:eastAsia="Calibri"/>
                <w:color w:val="212121"/>
                <w:sz w:val="17"/>
              </w:rPr>
              <w:t>5-min average, minimum, maximum in ppm</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0BBE4ED">
            <w:pPr>
              <w:spacing w:before="33" w:after="33" w:line="240" w:lineRule="auto"/>
              <w:jc w:val="left"/>
            </w:pPr>
            <w:r>
              <w:rPr>
                <w:rFonts w:ascii="Calibri" w:hAnsi="Calibri" w:eastAsia="Calibri"/>
                <w:color w:val="212121"/>
                <w:sz w:val="17"/>
              </w:rPr>
              <w:t>Sash movement effect</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E31945D">
            <w:pPr>
              <w:spacing w:before="33" w:after="33" w:line="240" w:lineRule="auto"/>
              <w:jc w:val="left"/>
            </w:pPr>
            <w:r>
              <w:rPr>
                <w:rFonts w:ascii="Calibri" w:hAnsi="Calibri" w:eastAsia="Calibri"/>
                <w:color w:val="212121"/>
                <w:sz w:val="17"/>
              </w:rPr>
              <w:t>Containment while the sash is moving and the VAV responds</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DEA519B">
            <w:pPr>
              <w:spacing w:before="33" w:after="33" w:line="240" w:lineRule="auto"/>
              <w:jc w:val="left"/>
            </w:pPr>
            <w:r>
              <w:rPr>
                <w:rFonts w:ascii="Calibri" w:hAnsi="Calibri" w:eastAsia="Calibri"/>
                <w:color w:val="212121"/>
                <w:sz w:val="17"/>
              </w:rPr>
              <w:t>Same as tracer gas, dynamic</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0143722">
            <w:pPr>
              <w:spacing w:before="33" w:after="33" w:line="240" w:lineRule="auto"/>
              <w:jc w:val="left"/>
            </w:pPr>
            <w:r>
              <w:rPr>
                <w:rFonts w:ascii="Calibri" w:hAnsi="Calibri" w:eastAsia="Calibri"/>
                <w:color w:val="212121"/>
                <w:sz w:val="17"/>
              </w:rPr>
              <w:t>45 s rolling average (RA-Max), peak</w:t>
            </w:r>
          </w:p>
        </w:tc>
      </w:tr>
    </w:tbl>
    <w:p w14:paraId="62BB4C9A">
      <w:pPr>
        <w:spacing w:before="0" w:after="120" w:line="372" w:lineRule="auto"/>
        <w:jc w:val="both"/>
      </w:pPr>
      <w:r>
        <w:rPr>
          <w:rFonts w:ascii="Calibri" w:hAnsi="Calibri"/>
          <w:color w:val="212121"/>
          <w:sz w:val="20"/>
        </w:rPr>
        <w:t>The order matters. Face velocity is measured first because a hood that cannot hold its design airflow cannot be expected to contain anything, and because the measurement is cheap. Tracer gas is measured last because it is expensive, slow, and only meaningful once the airflow is proven stable.</w:t>
      </w:r>
    </w:p>
    <w:p w14:paraId="1790D208">
      <w:pPr>
        <w:spacing w:before="0" w:after="120" w:line="372" w:lineRule="auto"/>
        <w:jc w:val="both"/>
      </w:pPr>
      <w:r>
        <w:rPr>
          <w:rFonts w:ascii="Calibri" w:hAnsi="Calibri"/>
          <w:color w:val="212121"/>
          <w:sz w:val="20"/>
        </w:rPr>
        <w:t xml:space="preserve">One structural point is worth stating plainly at the outset: </w:t>
      </w:r>
      <w:r>
        <w:rPr>
          <w:rFonts w:ascii="Calibri" w:hAnsi="Calibri"/>
          <w:b w:val="1"/>
          <w:color w:val="212121"/>
          <w:sz w:val="20"/>
        </w:rPr>
        <w:t>the three tests are not correlated</w:t>
      </w:r>
      <w:r>
        <w:rPr>
          <w:rFonts w:ascii="Calibri" w:hAnsi="Calibri"/>
          <w:color w:val="212121"/>
          <w:sz w:val="20"/>
        </w:rPr>
        <w:t>. A hood can hold 0.50 m/s across its opening and still leak; the Iranian petrochemical survey of 22 hoods found face velocity compliance in 9.1 % and tracer gas compliance in 4.5 %, with no hood passing one test passing the other. The Finnish survey of 295 hoods found 27 % compliant on face velocity but only 2.7 % compliant on every criterion.</w:t>
      </w:r>
    </w:p>
    <w:p w14:paraId="199C5D82">
      <w:pPr>
        <w:spacing w:before="0" w:after="120" w:line="372" w:lineRule="auto"/>
        <w:jc w:val="both"/>
      </w:pPr>
      <w:r>
        <w:rPr>
          <w:rFonts w:ascii="Calibri" w:hAnsi="Calibri"/>
          <w:color w:val="212121"/>
          <w:sz w:val="20"/>
        </w:rPr>
        <w:t>Any acceptance regime that stops at face velocity is measuring the wrong thing.</w:t>
      </w:r>
    </w:p>
    <w:p w14:paraId="77860C4B">
      <w:pPr>
        <w:pStyle w:val="00000a"/>
        <w:pBdr>
          <w:bottom w:val="single" w:color="1565C0" w:sz="9" w:space="0"/>
        </w:pBdr>
        <w:spacing w:before="400" w:after="160" w:line="300" w:lineRule="auto"/>
        <w:jc w:val="left"/>
      </w:pPr>
      <w:bookmarkStart w:id="3" w:name="section-3"/>
      <w:bookmarkEnd w:id="3"/>
      <w:r>
        <w:rPr>
          <w:rFonts w:ascii="Arial" w:hAnsi="Arial"/>
          <w:b w:val="1"/>
          <w:color w:val="14243F"/>
          <w:sz w:val="30"/>
        </w:rPr>
        <w:t>3. The three test states: AM, AI, AU</w:t>
      </w:r>
    </w:p>
    <w:p w14:paraId="46E28E16">
      <w:pPr>
        <w:spacing w:before="0" w:after="120" w:line="372" w:lineRule="auto"/>
        <w:jc w:val="both"/>
      </w:pPr>
      <w:r>
        <w:rPr>
          <w:rFonts w:ascii="Calibri" w:hAnsi="Calibri"/>
          <w:color w:val="212121"/>
          <w:sz w:val="20"/>
        </w:rPr>
        <w:t>ASHRAE 110 defines three states in which the same method may be applied. They are not three grades of the same test; they answer three different questions, and they are performed by three different parties.</w:t>
      </w:r>
    </w:p>
    <w:tbl>
      <w:tblPr>
        <w:tblW w:w="5000" w:type="pct"/>
        <w:tblLayout w:type="autofit"/>
        <w:tblLook w:firstRow="1" w:lastRow="0" w:firstColumn="1" w:lastColumn="0" w:noHBand="0" w:noVBand="1" w:val="04A0"/>
      </w:tblPr>
      <w:tblGrid>
        <w:gridCol w:w="2160"/>
        <w:gridCol w:w="2160"/>
        <w:gridCol w:w="2160"/>
        <w:gridCol w:w="2160"/>
      </w:tblGrid>
      <w:tr>
        <w:trPr/>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39638581">
            <w:pPr>
              <w:spacing w:before="42" w:after="42" w:line="240" w:lineRule="auto"/>
              <w:jc w:val="left"/>
            </w:pPr>
            <w:r>
              <w:rPr>
                <w:rFonts w:ascii="Arial" w:hAnsi="Arial" w:eastAsia="Arial"/>
                <w:b w:val="1"/>
                <w:color w:val="14243F"/>
                <w:sz w:val="17"/>
              </w:rPr>
              <w:t>State</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8B05D22">
            <w:pPr>
              <w:spacing w:before="42" w:after="42" w:line="240" w:lineRule="auto"/>
              <w:jc w:val="left"/>
            </w:pPr>
            <w:r>
              <w:rPr>
                <w:rFonts w:ascii="Arial" w:hAnsi="Arial" w:eastAsia="Arial"/>
                <w:b w:val="1"/>
                <w:color w:val="14243F"/>
                <w:sz w:val="17"/>
              </w:rPr>
              <w:t>Question answered</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B269B5A">
            <w:pPr>
              <w:spacing w:before="42" w:after="42" w:line="240" w:lineRule="auto"/>
              <w:jc w:val="left"/>
            </w:pPr>
            <w:r>
              <w:rPr>
                <w:rFonts w:ascii="Arial" w:hAnsi="Arial" w:eastAsia="Arial"/>
                <w:b w:val="1"/>
                <w:color w:val="14243F"/>
                <w:sz w:val="17"/>
              </w:rPr>
              <w:t>Where and when</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124D42E9">
            <w:pPr>
              <w:spacing w:before="42" w:after="42" w:line="240" w:lineRule="auto"/>
              <w:jc w:val="left"/>
            </w:pPr>
            <w:r>
              <w:rPr>
                <w:rFonts w:ascii="Arial" w:hAnsi="Arial" w:eastAsia="Arial"/>
                <w:b w:val="1"/>
                <w:color w:val="14243F"/>
                <w:sz w:val="17"/>
              </w:rPr>
              <w:t>Typical control level</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5B098C">
            <w:pPr>
              <w:spacing w:before="33" w:after="33" w:line="240" w:lineRule="auto"/>
              <w:jc w:val="left"/>
            </w:pPr>
            <w:r>
              <w:rPr>
                <w:rFonts w:ascii="Calibri" w:hAnsi="Calibri" w:eastAsia="Calibri"/>
                <w:color w:val="212121"/>
                <w:sz w:val="17"/>
              </w:rPr>
              <w:t>As Manufactured (AM)</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C34DDD9">
            <w:pPr>
              <w:spacing w:before="33" w:after="33" w:line="240" w:lineRule="auto"/>
              <w:jc w:val="left"/>
            </w:pPr>
            <w:r>
              <w:rPr>
                <w:rFonts w:ascii="Calibri" w:hAnsi="Calibri" w:eastAsia="Calibri"/>
                <w:color w:val="212121"/>
                <w:sz w:val="17"/>
              </w:rPr>
              <w:t>What is this design capable of under controlled conditions?</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12BAB8D">
            <w:pPr>
              <w:spacing w:before="33" w:after="33" w:line="240" w:lineRule="auto"/>
              <w:jc w:val="left"/>
            </w:pPr>
            <w:r>
              <w:rPr>
                <w:rFonts w:ascii="Calibri" w:hAnsi="Calibri" w:eastAsia="Calibri"/>
                <w:color w:val="212121"/>
                <w:sz w:val="17"/>
              </w:rPr>
              <w:t>Test laboratory, before delivery</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F5902AC">
            <w:pPr>
              <w:spacing w:before="33" w:after="33" w:line="240" w:lineRule="auto"/>
              <w:jc w:val="left"/>
            </w:pPr>
            <w:r>
              <w:rPr>
                <w:rFonts w:ascii="Calibri" w:hAnsi="Calibri" w:eastAsia="Calibri"/>
                <w:color w:val="212121"/>
                <w:sz w:val="17"/>
              </w:rPr>
              <w:t>0.05 ppm</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BBEE5FB">
            <w:pPr>
              <w:spacing w:before="33" w:after="33" w:line="240" w:lineRule="auto"/>
              <w:jc w:val="left"/>
            </w:pPr>
            <w:r>
              <w:rPr>
                <w:rFonts w:ascii="Calibri" w:hAnsi="Calibri" w:eastAsia="Calibri"/>
                <w:color w:val="212121"/>
                <w:sz w:val="17"/>
              </w:rPr>
              <w:t>As Installed (AI)</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01E2D50">
            <w:pPr>
              <w:spacing w:before="33" w:after="33" w:line="240" w:lineRule="auto"/>
              <w:jc w:val="left"/>
            </w:pPr>
            <w:r>
              <w:rPr>
                <w:rFonts w:ascii="Calibri" w:hAnsi="Calibri" w:eastAsia="Calibri"/>
                <w:color w:val="212121"/>
                <w:sz w:val="17"/>
              </w:rPr>
              <w:t>Does it still do that in this room, with this ductwork and this air supply?</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3B06515">
            <w:pPr>
              <w:spacing w:before="33" w:after="33" w:line="240" w:lineRule="auto"/>
              <w:jc w:val="left"/>
            </w:pPr>
            <w:r>
              <w:rPr>
                <w:rFonts w:ascii="Calibri" w:hAnsi="Calibri" w:eastAsia="Calibri"/>
                <w:color w:val="212121"/>
                <w:sz w:val="17"/>
              </w:rPr>
              <w:t>Site, after installation, before occupancy</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06C9805">
            <w:pPr>
              <w:spacing w:before="33" w:after="33" w:line="240" w:lineRule="auto"/>
              <w:jc w:val="left"/>
            </w:pPr>
            <w:r>
              <w:rPr>
                <w:rFonts w:ascii="Calibri" w:hAnsi="Calibri" w:eastAsia="Calibri"/>
                <w:color w:val="212121"/>
                <w:sz w:val="17"/>
              </w:rPr>
              <w:t>0.10 ppm</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73CBC99">
            <w:pPr>
              <w:spacing w:before="33" w:after="33" w:line="240" w:lineRule="auto"/>
              <w:jc w:val="left"/>
            </w:pPr>
            <w:r>
              <w:rPr>
                <w:rFonts w:ascii="Calibri" w:hAnsi="Calibri" w:eastAsia="Calibri"/>
                <w:color w:val="212121"/>
                <w:sz w:val="17"/>
              </w:rPr>
              <w:t>As Used (AU)</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24CBC5C">
            <w:pPr>
              <w:spacing w:before="33" w:after="33" w:line="240" w:lineRule="auto"/>
              <w:jc w:val="left"/>
            </w:pPr>
            <w:r>
              <w:rPr>
                <w:rFonts w:ascii="Calibri" w:hAnsi="Calibri" w:eastAsia="Calibri"/>
                <w:color w:val="212121"/>
                <w:sz w:val="17"/>
              </w:rPr>
              <w:t>Does it still do that with the apparatus, the operator and the procedure actually in use?</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25ECD40">
            <w:pPr>
              <w:spacing w:before="33" w:after="33" w:line="240" w:lineRule="auto"/>
              <w:jc w:val="left"/>
            </w:pPr>
            <w:r>
              <w:rPr>
                <w:rFonts w:ascii="Calibri" w:hAnsi="Calibri" w:eastAsia="Calibri"/>
                <w:color w:val="212121"/>
                <w:sz w:val="17"/>
              </w:rPr>
              <w:t>Site, in service</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3CFDDD1">
            <w:pPr>
              <w:spacing w:before="33" w:after="33" w:line="240" w:lineRule="auto"/>
              <w:jc w:val="left"/>
            </w:pPr>
            <w:r>
              <w:rPr>
                <w:rFonts w:ascii="Calibri" w:hAnsi="Calibri" w:eastAsia="Calibri"/>
                <w:color w:val="212121"/>
                <w:sz w:val="17"/>
              </w:rPr>
              <w:t>0.10 ppm</w:t>
            </w:r>
          </w:p>
        </w:tc>
      </w:tr>
    </w:tbl>
    <w:p w14:paraId="4D5B778A">
      <w:pPr>
        <w:pStyle w:val="00000c"/>
        <w:spacing w:before="280" w:after="100" w:line="300" w:lineRule="auto"/>
        <w:jc w:val="left"/>
      </w:pPr>
      <w:r>
        <w:rPr>
          <w:rFonts w:ascii="Arial" w:hAnsi="Arial"/>
          <w:b w:val="1"/>
          <w:color w:val="1565C0"/>
          <w:sz w:val="22"/>
        </w:rPr>
        <w:t>3.1 Why AM cannot be replaced by AI</w:t>
      </w:r>
    </w:p>
    <w:p w14:paraId="1EA3C637">
      <w:pPr>
        <w:spacing w:before="0" w:after="120" w:line="372" w:lineRule="auto"/>
        <w:jc w:val="both"/>
      </w:pPr>
      <w:r>
        <w:rPr>
          <w:rFonts w:ascii="Calibri" w:hAnsi="Calibri"/>
          <w:color w:val="212121"/>
          <w:sz w:val="20"/>
        </w:rPr>
        <w:t>An AM test is run in a test room with controlled cross-drafts, a dedicated exhaust, and no neighbouring fume hoods competing for air. It isolates the hood. That is its value: it is the only test in which a failure is unambiguously attributable to the product.</w:t>
      </w:r>
    </w:p>
    <w:p w14:paraId="3DCB5A25">
      <w:pPr>
        <w:spacing w:before="0" w:after="120" w:line="372" w:lineRule="auto"/>
        <w:jc w:val="both"/>
      </w:pPr>
      <w:r>
        <w:rPr>
          <w:rFonts w:ascii="Calibri" w:hAnsi="Calibri"/>
          <w:color w:val="212121"/>
          <w:sz w:val="20"/>
        </w:rPr>
        <w:t>An AI test includes the room. Supply diffusers, door gaps, adjacent hoods, the position of the make-up air grille and the pressure regime of the laboratory all enter the result. This is why AM results are not transferable to a project and why a manufacturer's type-test certificate cannot substitute for commissioning in a real laboratory.</w:t>
      </w:r>
    </w:p>
    <w:p w14:paraId="4B879FBE">
      <w:pPr>
        <w:pStyle w:val="00000c"/>
        <w:spacing w:before="280" w:after="100" w:line="300" w:lineRule="auto"/>
        <w:jc w:val="left"/>
      </w:pPr>
      <w:r>
        <w:rPr>
          <w:rFonts w:ascii="Arial" w:hAnsi="Arial"/>
          <w:b w:val="1"/>
          <w:color w:val="1565C0"/>
          <w:sz w:val="22"/>
        </w:rPr>
        <w:t>3.2 Why AU is the only state that reflects risk</w:t>
      </w:r>
    </w:p>
    <w:p w14:paraId="1ECCB206">
      <w:pPr>
        <w:spacing w:before="0" w:after="120" w:line="372" w:lineRule="auto"/>
        <w:jc w:val="both"/>
      </w:pPr>
      <w:r>
        <w:rPr>
          <w:rFonts w:ascii="Calibri" w:hAnsi="Calibri"/>
          <w:color w:val="212121"/>
          <w:sz w:val="20"/>
        </w:rPr>
        <w:t>AU includes the apparatus. A 20 L reaction flask set on the work surface, a hotplate at the rear of the hood, or a centrifuge tube rack standing 150 mm high in front of the lower baffle slot changes the flow field inside the hood far more than most users expect. The NEBB retrospective attributes 25 % of tracer-gas failures to user practice alone.</w:t>
      </w:r>
    </w:p>
    <w:p w14:paraId="441EB709">
      <w:pPr>
        <w:spacing w:before="0" w:after="120" w:line="372" w:lineRule="auto"/>
        <w:jc w:val="both"/>
      </w:pPr>
      <w:r>
        <w:rPr>
          <w:rFonts w:ascii="Calibri" w:hAnsi="Calibri"/>
          <w:color w:val="212121"/>
          <w:sz w:val="20"/>
        </w:rPr>
        <w:t>AU is therefore the state in which a hood's real protection is decided — and the state most often skipped, because it requires the laboratory to be running the actual process.</w:t>
      </w:r>
    </w:p>
    <w:p w14:paraId="1D94E5FC">
      <w:pPr>
        <w:pStyle w:val="00000c"/>
        <w:spacing w:before="280" w:after="100" w:line="300" w:lineRule="auto"/>
        <w:jc w:val="left"/>
      </w:pPr>
      <w:r>
        <w:rPr>
          <w:rFonts w:ascii="Arial" w:hAnsi="Arial"/>
          <w:b w:val="1"/>
          <w:color w:val="1565C0"/>
          <w:sz w:val="22"/>
        </w:rPr>
        <w:t>3.3 The Deiiang position on test states</w:t>
      </w:r>
    </w:p>
    <w:p w14:paraId="62CC262B">
      <w:pPr>
        <w:spacing w:before="0" w:after="120" w:line="372" w:lineRule="auto"/>
        <w:jc w:val="both"/>
      </w:pPr>
      <w:r>
        <w:rPr>
          <w:rFonts w:ascii="Calibri" w:hAnsi="Calibri"/>
          <w:color w:val="212121"/>
          <w:sz w:val="20"/>
        </w:rPr>
        <w:t xml:space="preserve">Deiiang supplies </w:t>
      </w:r>
      <w:r>
        <w:rPr>
          <w:rFonts w:ascii="Calibri" w:hAnsi="Calibri"/>
          <w:b w:val="1"/>
          <w:color w:val="212121"/>
          <w:sz w:val="20"/>
        </w:rPr>
        <w:t>AM test data</w:t>
      </w:r>
      <w:r>
        <w:rPr>
          <w:rFonts w:ascii="Calibri" w:hAnsi="Calibri"/>
          <w:color w:val="212121"/>
          <w:sz w:val="20"/>
        </w:rPr>
        <w:t xml:space="preserve"> for the hood models that have been type-tested, and supports </w:t>
      </w:r>
      <w:r>
        <w:rPr>
          <w:rFonts w:ascii="Calibri" w:hAnsi="Calibri"/>
          <w:b w:val="1"/>
          <w:color w:val="212121"/>
          <w:sz w:val="20"/>
        </w:rPr>
        <w:t>AI commissioning</w:t>
      </w:r>
      <w:r>
        <w:rPr>
          <w:rFonts w:ascii="Calibri" w:hAnsi="Calibri"/>
          <w:color w:val="212121"/>
          <w:sz w:val="20"/>
        </w:rPr>
        <w:t xml:space="preserve"> on site through a documented procedure (Section 10). AU testing is a site activity performed with the owner's apparatus; Deiiang's contribution is the control layer that keeps the hood stable while the process changes, described in Section 9.</w:t>
      </w:r>
    </w:p>
    <w:p w14:paraId="71C668BE">
      <w:pPr>
        <w:spacing w:before="0" w:after="120" w:line="372" w:lineRule="auto"/>
        <w:jc w:val="both"/>
      </w:pPr>
      <w:r>
        <w:rPr>
          <w:rFonts w:ascii="Calibri" w:hAnsi="Calibri"/>
          <w:color w:val="212121"/>
          <w:sz w:val="20"/>
        </w:rPr>
        <w:t>No manufacturer can certify AU performance, because AU depends on what the owner puts inside the hood. A tender document that requires the supplier to "guarantee AU ≤ 0.10 ppm" is asking for something that cannot be contractually delivered without control of the laboratory's operating practice.</w:t>
      </w:r>
    </w:p>
    <w:p w14:paraId="6F5412CA">
      <w:pPr>
        <w:pStyle w:val="00000a"/>
        <w:pBdr>
          <w:bottom w:val="single" w:color="1565C0" w:sz="9" w:space="0"/>
        </w:pBdr>
        <w:spacing w:before="400" w:after="160" w:line="300" w:lineRule="auto"/>
        <w:jc w:val="left"/>
      </w:pPr>
      <w:bookmarkStart w:id="4" w:name="section-4"/>
      <w:bookmarkEnd w:id="4"/>
      <w:r>
        <w:rPr>
          <w:rFonts w:ascii="Arial" w:hAnsi="Arial"/>
          <w:b w:val="1"/>
          <w:color w:val="14243F"/>
          <w:sz w:val="30"/>
        </w:rPr>
        <w:t>4. Test 1 — Face velocity</w:t>
      </w:r>
    </w:p>
    <w:p w14:paraId="73B094E0">
      <w:pPr>
        <w:spacing w:before="0" w:after="120" w:line="372" w:lineRule="auto"/>
        <w:jc w:val="both"/>
      </w:pPr>
      <w:r>
        <w:rPr>
          <w:rFonts w:ascii="Calibri" w:hAnsi="Calibri"/>
          <w:color w:val="212121"/>
          <w:sz w:val="20"/>
        </w:rPr>
        <w:t>Face velocity is the first test in the sequence, and the only one cheap enough to repeat every year.</w:t>
      </w:r>
    </w:p>
    <w:p w14:paraId="1AB0960B">
      <w:pPr>
        <w:pStyle w:val="00000c"/>
        <w:spacing w:before="280" w:after="100" w:line="300" w:lineRule="auto"/>
        <w:jc w:val="left"/>
      </w:pPr>
      <w:r>
        <w:rPr>
          <w:rFonts w:ascii="Arial" w:hAnsi="Arial"/>
          <w:b w:val="1"/>
          <w:color w:val="1565C0"/>
          <w:sz w:val="22"/>
        </w:rPr>
        <w:t>4.1 Procedure</w:t>
      </w:r>
    </w:p>
    <w:p w14:paraId="0FEE6012">
      <w:pPr>
        <w:spacing w:before="0" w:after="120" w:line="372" w:lineRule="auto"/>
        <w:jc w:val="both"/>
      </w:pPr>
      <w:r>
        <w:rPr>
          <w:rFonts w:ascii="Calibri" w:hAnsi="Calibri"/>
          <w:color w:val="212121"/>
          <w:sz w:val="20"/>
        </w:rPr>
        <w:t>The sash is set to the specified test opening, conventionally 500 mm (19.7 in) above the work surface for the standard test and additionally at 25 %, 50 % and 100 % of full opening where the specification calls for a velocity profile. The opening is divided into a grid in which no cell exceeds 1 ft² (0.09 m²) and no cell edge exceeds 330 mm (13 in).</w:t>
      </w:r>
    </w:p>
    <w:p w14:paraId="02B0CD8D">
      <w:pPr>
        <w:spacing w:before="0" w:after="120" w:line="372" w:lineRule="auto"/>
        <w:jc w:val="both"/>
      </w:pPr>
      <w:r>
        <w:rPr>
          <w:rFonts w:ascii="Calibri" w:hAnsi="Calibri"/>
          <w:color w:val="212121"/>
          <w:sz w:val="20"/>
        </w:rPr>
        <w:t>A calibrated thermal anemometer is held at the centre of each cell, perpendicular to the opening, and readings are logged for 20 s at 1 s intervals. The 20 s mean is the cell value; the arithmetic mean of the cell values is the hood's face velocity.</w:t>
      </w:r>
    </w:p>
    <w:p w14:paraId="55A19D43">
      <w:pPr>
        <w:spacing w:before="0" w:after="120" w:line="372" w:lineRule="auto"/>
        <w:jc w:val="both"/>
      </w:pPr>
      <w:r>
        <w:rPr>
          <w:rFonts w:ascii="Calibri" w:hAnsi="Calibri"/>
          <w:color w:val="212121"/>
          <w:sz w:val="20"/>
        </w:rPr>
        <w:t>Uniformity is reported as the deviation of individual points from the mean. Deiiang reports this as a deviation ratio; the type-tested T3 hood recorded 6.0 %, against a commonly specified ceiling of 20 %.</w:t>
      </w:r>
    </w:p>
    <w:p w14:paraId="6FD85594">
      <w:pPr>
        <w:pStyle w:val="00000c"/>
        <w:spacing w:before="280" w:after="100" w:line="300" w:lineRule="auto"/>
        <w:jc w:val="left"/>
      </w:pPr>
      <w:r>
        <w:rPr>
          <w:rFonts w:ascii="Arial" w:hAnsi="Arial"/>
          <w:b w:val="1"/>
          <w:color w:val="1565C0"/>
          <w:sz w:val="22"/>
        </w:rPr>
        <w:t>4.2 What the number means, and what it does not</w:t>
      </w:r>
    </w:p>
    <w:p w14:paraId="17854B2F">
      <w:pPr>
        <w:spacing w:before="0" w:after="120" w:line="372" w:lineRule="auto"/>
        <w:jc w:val="both"/>
      </w:pPr>
      <w:r>
        <w:rPr>
          <w:rFonts w:ascii="Calibri" w:hAnsi="Calibri"/>
          <w:color w:val="212121"/>
          <w:sz w:val="20"/>
        </w:rPr>
        <w:t>Face velocity is a screening quantity. It is cheap, fast, repeatable, and it detects the failure modes that dominate field data: clogged filters, slipped fan belts, jammed dampers, leaking ductwork, competing hoods on a shared fan. The Shanghai survey of 27 enterprises found 51.9 % of fans delivering 70 % or less of rated airflow — a fault that face velocity catches immediately.</w:t>
      </w:r>
    </w:p>
    <w:p w14:paraId="53287C06">
      <w:pPr>
        <w:spacing w:before="0" w:after="120" w:line="372" w:lineRule="auto"/>
        <w:jc w:val="both"/>
      </w:pPr>
      <w:r>
        <w:rPr>
          <w:rFonts w:ascii="Calibri" w:hAnsi="Calibri"/>
          <w:color w:val="212121"/>
          <w:sz w:val="20"/>
        </w:rPr>
        <w:t xml:space="preserve">It does not measure containment. Readings at the geometric centre of a grid cell say nothing about the eddy that forms behind a partially open sash, and nothing about the leakage path around the sash stile. The National Environmental Balancing Bureau's retrospective found that </w:t>
      </w:r>
      <w:r>
        <w:rPr>
          <w:rFonts w:ascii="Calibri" w:hAnsi="Calibri"/>
          <w:b w:val="1"/>
          <w:color w:val="212121"/>
          <w:sz w:val="20"/>
        </w:rPr>
        <w:t>more than 80 % of hoods that failed tracer gas testing had a compliant face velocity</w:t>
      </w:r>
      <w:r>
        <w:rPr>
          <w:rFonts w:ascii="Calibri" w:hAnsi="Calibri"/>
          <w:color w:val="212121"/>
          <w:sz w:val="20"/>
        </w:rPr>
        <w:t>. That single figure is the strongest argument in the literature for running both tests.</w:t>
      </w:r>
    </w:p>
    <w:p w14:paraId="515580AC">
      <w:pPr>
        <w:pStyle w:val="00000c"/>
        <w:spacing w:before="280" w:after="100" w:line="300" w:lineRule="auto"/>
        <w:jc w:val="left"/>
      </w:pPr>
      <w:r>
        <w:rPr>
          <w:rFonts w:ascii="Arial" w:hAnsi="Arial"/>
          <w:b w:val="1"/>
          <w:color w:val="1565C0"/>
          <w:sz w:val="22"/>
        </w:rPr>
        <w:t>4.3 Cross-drafts</w:t>
      </w:r>
    </w:p>
    <w:p w14:paraId="374FE25B">
      <w:pPr>
        <w:spacing w:before="0" w:after="120" w:line="372" w:lineRule="auto"/>
        <w:jc w:val="both"/>
      </w:pPr>
      <w:r>
        <w:rPr>
          <w:rFonts w:ascii="Calibri" w:hAnsi="Calibri"/>
          <w:color w:val="212121"/>
          <w:sz w:val="20"/>
        </w:rPr>
        <w:t>Before the grid is measured, the standard practice is to measure the cross-draft in front of the hood: probes at approximately 0.5 m (18 in) from the opening, at mid-height, logging for 30 s. SEFA guidance holds cross-drafts below 30 % of the design face velocity. A supply diffuser delivering 2 m/s at 1.5 m from a hood face will destroy containment irrespective of the hood's own quality, and no amount of product engineering compensates for it.</w:t>
      </w:r>
    </w:p>
    <w:p w14:paraId="43B35392">
      <w:pPr>
        <w:spacing w:before="0" w:after="120" w:line="372" w:lineRule="auto"/>
        <w:jc w:val="both"/>
      </w:pPr>
      <w:r>
        <w:rPr>
          <w:rFonts w:ascii="Calibri" w:hAnsi="Calibri"/>
          <w:color w:val="212121"/>
          <w:sz w:val="20"/>
        </w:rPr>
        <w:t>Cross-draft is a room problem, not a hood problem, and it belongs in the AI report as an explicit measured value rather than a note.</w:t>
      </w:r>
    </w:p>
    <w:p w14:paraId="6D6119FE">
      <w:pPr>
        <w:pStyle w:val="00000c"/>
        <w:spacing w:before="280" w:after="100" w:line="300" w:lineRule="auto"/>
        <w:jc w:val="left"/>
      </w:pPr>
      <w:r>
        <w:rPr>
          <w:rFonts w:ascii="Arial" w:hAnsi="Arial"/>
          <w:b w:val="1"/>
          <w:color w:val="1565C0"/>
          <w:sz w:val="22"/>
        </w:rPr>
        <w:t>4.4 Deiiang velocity data</w:t>
      </w:r>
    </w:p>
    <w:tbl>
      <w:tblPr>
        <w:tblW w:w="5000" w:type="pct"/>
        <w:tblLayout w:type="autofit"/>
        <w:tblLook w:firstRow="1" w:lastRow="0" w:firstColumn="1" w:lastColumn="0" w:noHBand="0" w:noVBand="1" w:val="04A0"/>
      </w:tblPr>
      <w:tblGrid>
        <w:gridCol w:w="1728"/>
        <w:gridCol w:w="1728"/>
        <w:gridCol w:w="1728"/>
        <w:gridCol w:w="1728"/>
        <w:gridCol w:w="1728"/>
      </w:tblGrid>
      <w:tr>
        <w:trPr/>
        <w:tc>
          <w:tcPr>
            <w:tcW w:w="1728"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8EF784C">
            <w:pPr>
              <w:spacing w:before="42" w:after="42" w:line="240" w:lineRule="auto"/>
              <w:jc w:val="left"/>
            </w:pPr>
            <w:r>
              <w:rPr>
                <w:rFonts w:ascii="Arial" w:hAnsi="Arial" w:eastAsia="Arial"/>
                <w:b w:val="1"/>
                <w:color w:val="14243F"/>
                <w:sz w:val="17"/>
              </w:rPr>
              <w:t>Model</w:t>
            </w:r>
          </w:p>
        </w:tc>
        <w:tc>
          <w:tcPr>
            <w:tcW w:w="1728"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A11CFFC">
            <w:pPr>
              <w:spacing w:before="42" w:after="42" w:line="240" w:lineRule="auto"/>
              <w:jc w:val="left"/>
            </w:pPr>
            <w:r>
              <w:rPr>
                <w:rFonts w:ascii="Arial" w:hAnsi="Arial" w:eastAsia="Arial"/>
                <w:b w:val="1"/>
                <w:color w:val="14243F"/>
                <w:sz w:val="17"/>
              </w:rPr>
              <w:t>Nominal size (W×D×H, mm)</w:t>
            </w:r>
          </w:p>
        </w:tc>
        <w:tc>
          <w:tcPr>
            <w:tcW w:w="1728"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7E82005">
            <w:pPr>
              <w:spacing w:before="42" w:after="42" w:line="240" w:lineRule="auto"/>
              <w:jc w:val="left"/>
            </w:pPr>
            <w:r>
              <w:rPr>
                <w:rFonts w:ascii="Arial" w:hAnsi="Arial" w:eastAsia="Arial"/>
                <w:b w:val="1"/>
                <w:color w:val="14243F"/>
                <w:sz w:val="17"/>
              </w:rPr>
              <w:t>Rated exhaust</w:t>
            </w:r>
          </w:p>
        </w:tc>
        <w:tc>
          <w:tcPr>
            <w:tcW w:w="1728"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CA33DAA">
            <w:pPr>
              <w:spacing w:before="42" w:after="42" w:line="240" w:lineRule="auto"/>
              <w:jc w:val="left"/>
            </w:pPr>
            <w:r>
              <w:rPr>
                <w:rFonts w:ascii="Arial" w:hAnsi="Arial" w:eastAsia="Arial"/>
                <w:b w:val="1"/>
                <w:color w:val="14243F"/>
                <w:sz w:val="17"/>
              </w:rPr>
              <w:t>Face velocity</w:t>
            </w:r>
          </w:p>
        </w:tc>
        <w:tc>
          <w:tcPr>
            <w:tcW w:w="1728"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711D96C">
            <w:pPr>
              <w:spacing w:before="42" w:after="42" w:line="240" w:lineRule="auto"/>
              <w:jc w:val="left"/>
            </w:pPr>
            <w:r>
              <w:rPr>
                <w:rFonts w:ascii="Arial" w:hAnsi="Arial" w:eastAsia="Arial"/>
                <w:b w:val="1"/>
                <w:color w:val="14243F"/>
                <w:sz w:val="17"/>
              </w:rPr>
              <w:t>Uniformity</w:t>
            </w:r>
          </w:p>
        </w:tc>
      </w:tr>
      <w:tr>
        <w:trPr/>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857E3DD">
            <w:pPr>
              <w:spacing w:before="33" w:after="33" w:line="240" w:lineRule="auto"/>
              <w:jc w:val="left"/>
            </w:pPr>
            <w:r>
              <w:rPr>
                <w:rFonts w:ascii="Calibri" w:hAnsi="Calibri" w:eastAsia="Calibri"/>
                <w:color w:val="212121"/>
                <w:sz w:val="17"/>
              </w:rPr>
              <w:t>T3 high-performance</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ECDB2F6">
            <w:pPr>
              <w:spacing w:before="33" w:after="33" w:line="240" w:lineRule="auto"/>
              <w:jc w:val="left"/>
            </w:pPr>
            <w:r>
              <w:rPr>
                <w:rFonts w:ascii="Calibri" w:hAnsi="Calibri" w:eastAsia="Calibri"/>
                <w:color w:val="212121"/>
                <w:sz w:val="17"/>
              </w:rPr>
              <w:t>1500 × 850 × 2350</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23A250B">
            <w:pPr>
              <w:spacing w:before="33" w:after="33" w:line="240" w:lineRule="auto"/>
              <w:jc w:val="left"/>
            </w:pPr>
            <w:r>
              <w:rPr>
                <w:rFonts w:ascii="Calibri" w:hAnsi="Calibri" w:eastAsia="Calibri"/>
                <w:color w:val="212121"/>
                <w:sz w:val="17"/>
              </w:rPr>
              <w:t>1105 m³/h</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F73DE92">
            <w:pPr>
              <w:spacing w:before="33" w:after="33" w:line="240" w:lineRule="auto"/>
              <w:jc w:val="left"/>
            </w:pPr>
            <w:r>
              <w:rPr>
                <w:rFonts w:ascii="Calibri" w:hAnsi="Calibri" w:eastAsia="Calibri"/>
                <w:color w:val="212121"/>
                <w:sz w:val="17"/>
              </w:rPr>
              <w:t>0.50 m/s mean</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31B754">
            <w:pPr>
              <w:spacing w:before="33" w:after="33" w:line="240" w:lineRule="auto"/>
              <w:jc w:val="left"/>
            </w:pPr>
            <w:r>
              <w:rPr>
                <w:rFonts w:ascii="Calibri" w:hAnsi="Calibri" w:eastAsia="Calibri"/>
                <w:color w:val="212121"/>
                <w:sz w:val="17"/>
              </w:rPr>
              <w:t>6.0 % deviation</w:t>
            </w:r>
          </w:p>
        </w:tc>
      </w:tr>
      <w:tr>
        <w:trPr/>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678DE4D">
            <w:pPr>
              <w:spacing w:before="33" w:after="33" w:line="240" w:lineRule="auto"/>
              <w:jc w:val="left"/>
            </w:pPr>
            <w:r>
              <w:rPr>
                <w:rFonts w:ascii="Calibri" w:hAnsi="Calibri" w:eastAsia="Calibri"/>
                <w:color w:val="212121"/>
                <w:sz w:val="17"/>
              </w:rPr>
              <w:t>X1 all-steel</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33D8A8D">
            <w:pPr>
              <w:spacing w:before="33" w:after="33" w:line="240" w:lineRule="auto"/>
              <w:jc w:val="left"/>
            </w:pPr>
            <w:r>
              <w:rPr>
                <w:rFonts w:ascii="Calibri" w:hAnsi="Calibri" w:eastAsia="Calibri"/>
                <w:color w:val="212121"/>
                <w:sz w:val="17"/>
              </w:rPr>
              <w:t>1200 / 1500 / 1800 × 850 × 2350</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65B8B2B">
            <w:pPr>
              <w:spacing w:before="33" w:after="33" w:line="240" w:lineRule="auto"/>
              <w:jc w:val="left"/>
            </w:pPr>
            <w:r>
              <w:rPr>
                <w:rFonts w:ascii="Calibri" w:hAnsi="Calibri" w:eastAsia="Calibri"/>
                <w:color w:val="212121"/>
                <w:sz w:val="17"/>
              </w:rPr>
              <w:t>1700 m³/h (1500 mm)</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3116CBC">
            <w:pPr>
              <w:spacing w:before="33" w:after="33" w:line="240" w:lineRule="auto"/>
              <w:jc w:val="left"/>
            </w:pPr>
            <w:r>
              <w:rPr>
                <w:rFonts w:ascii="Calibri" w:hAnsi="Calibri" w:eastAsia="Calibri"/>
                <w:color w:val="212121"/>
                <w:sz w:val="17"/>
              </w:rPr>
              <w:t>0.30–0.50 m/s</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47E8940">
            <w:pPr>
              <w:spacing w:before="33" w:after="33" w:line="240" w:lineRule="auto"/>
              <w:jc w:val="left"/>
            </w:pPr>
            <w:r>
              <w:rPr>
                <w:rFonts w:ascii="Calibri" w:hAnsi="Calibri" w:eastAsia="Calibri"/>
                <w:color w:val="212121"/>
                <w:sz w:val="17"/>
              </w:rPr>
              <w:t>per project</w:t>
            </w:r>
          </w:p>
        </w:tc>
      </w:tr>
      <w:tr>
        <w:trPr/>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A2F35D1">
            <w:pPr>
              <w:spacing w:before="33" w:after="33" w:line="240" w:lineRule="auto"/>
              <w:jc w:val="left"/>
            </w:pPr>
            <w:r>
              <w:rPr>
                <w:rFonts w:ascii="Calibri" w:hAnsi="Calibri" w:eastAsia="Calibri"/>
                <w:color w:val="212121"/>
                <w:sz w:val="17"/>
              </w:rPr>
              <w:t>PP hood</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8117F34">
            <w:pPr>
              <w:spacing w:before="33" w:after="33" w:line="240" w:lineRule="auto"/>
              <w:jc w:val="left"/>
            </w:pPr>
            <w:r>
              <w:rPr>
                <w:rFonts w:ascii="Calibri" w:hAnsi="Calibri" w:eastAsia="Calibri"/>
                <w:color w:val="212121"/>
                <w:sz w:val="17"/>
              </w:rPr>
              <w:t>1500 × 850 × 2350</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FFCA78F">
            <w:pPr>
              <w:spacing w:before="33" w:after="33" w:line="240" w:lineRule="auto"/>
              <w:jc w:val="left"/>
            </w:pPr>
            <w:r>
              <w:rPr>
                <w:rFonts w:ascii="Calibri" w:hAnsi="Calibri" w:eastAsia="Calibri"/>
                <w:color w:val="212121"/>
                <w:sz w:val="17"/>
              </w:rPr>
              <w:t>per configuration</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54A8E20">
            <w:pPr>
              <w:spacing w:before="33" w:after="33" w:line="240" w:lineRule="auto"/>
              <w:jc w:val="left"/>
            </w:pPr>
            <w:r>
              <w:rPr>
                <w:rFonts w:ascii="Calibri" w:hAnsi="Calibri" w:eastAsia="Calibri"/>
                <w:color w:val="212121"/>
                <w:sz w:val="17"/>
              </w:rPr>
              <w:t>0.30–0.50 m/s</w:t>
            </w:r>
          </w:p>
        </w:tc>
        <w:tc>
          <w:tcPr>
            <w:tcW w:w="1728"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C05E5DC">
            <w:pPr>
              <w:spacing w:before="33" w:after="33" w:line="240" w:lineRule="auto"/>
              <w:jc w:val="left"/>
            </w:pPr>
            <w:r>
              <w:rPr>
                <w:rFonts w:ascii="Calibri" w:hAnsi="Calibri" w:eastAsia="Calibri"/>
                <w:color w:val="212121"/>
                <w:sz w:val="17"/>
              </w:rPr>
              <w:t>per project</w:t>
            </w:r>
          </w:p>
        </w:tc>
      </w:tr>
    </w:tbl>
    <w:p w14:paraId="66968809">
      <w:pPr>
        <w:spacing w:before="0" w:after="120" w:line="372" w:lineRule="auto"/>
        <w:jc w:val="both"/>
      </w:pPr>
      <w:r>
        <w:rPr>
          <w:rFonts w:ascii="Calibri" w:hAnsi="Calibri"/>
          <w:color w:val="212121"/>
          <w:sz w:val="20"/>
        </w:rPr>
        <w:t>The X1 figure is internally consistent and worth showing as a sanity check that specifiers can repeat: 1700 m³/h is 0.472 m³/s, which over the 1500 × 800 mm working opening gives 0.39 m/s — inside the 0.30–0.50 m/s band and below the 0.51 m/s upper bound of the Z9.5 starting range, which leaves headroom for the filter and duct allowance that accumulates over a service life.</w:t>
      </w:r>
    </w:p>
    <w:p w14:paraId="50A0CDF7">
      <w:pPr>
        <w:spacing w:before="0" w:after="120" w:line="372" w:lineRule="auto"/>
        <w:jc w:val="both"/>
      </w:pPr>
      <w:r>
        <w:rPr>
          <w:rFonts w:ascii="Calibri" w:hAnsi="Calibri"/>
          <w:color w:val="212121"/>
          <w:sz w:val="20"/>
        </w:rPr>
        <w:t xml:space="preserve">A note on the range: 0.30–0.50 m/s is a </w:t>
      </w:r>
      <w:r>
        <w:rPr>
          <w:rFonts w:ascii="Calibri" w:hAnsi="Calibri"/>
          <w:b w:val="1"/>
          <w:color w:val="212121"/>
          <w:sz w:val="20"/>
        </w:rPr>
        <w:t>product</w:t>
      </w:r>
      <w:r>
        <w:rPr>
          <w:rFonts w:ascii="Calibri" w:hAnsi="Calibri"/>
          <w:color w:val="212121"/>
          <w:sz w:val="20"/>
        </w:rPr>
        <w:t xml:space="preserve"> range, not a compliance claim.</w:t>
      </w:r>
    </w:p>
    <w:p w14:paraId="4812A45E">
      <w:pPr>
        <w:spacing w:before="0" w:after="120" w:line="372" w:lineRule="auto"/>
        <w:jc w:val="both"/>
      </w:pPr>
      <w:r>
        <w:rPr>
          <w:rFonts w:ascii="Calibri" w:hAnsi="Calibri"/>
          <w:color w:val="212121"/>
          <w:sz w:val="20"/>
        </w:rPr>
        <w:t>The applicable acceptance value is whichever the project's specification names — Z9.5's 80–100 fpm starting range equates to 0.41–0.51 m/s, JGJ 91-2019 gives three tiers from 0.35 to 0.75 m/s depending on the toxicity of the material handled, and a low-flow hood designed for 0.30 m/s is legitimately compliant with a specification that permits it and non-compliant with one that does not.</w:t>
      </w:r>
    </w:p>
    <w:p w14:paraId="60F7CF7F">
      <w:pPr>
        <w:pStyle w:val="00000a"/>
        <w:pBdr>
          <w:bottom w:val="single" w:color="1565C0" w:sz="9" w:space="0"/>
        </w:pBdr>
        <w:spacing w:before="400" w:after="160" w:line="300" w:lineRule="auto"/>
        <w:jc w:val="left"/>
      </w:pPr>
      <w:bookmarkStart w:id="5" w:name="section-5"/>
      <w:bookmarkEnd w:id="5"/>
      <w:r>
        <w:rPr>
          <w:rFonts w:ascii="Arial" w:hAnsi="Arial"/>
          <w:b w:val="1"/>
          <w:color w:val="14243F"/>
          <w:sz w:val="30"/>
        </w:rPr>
        <w:t>5. Test 2 — Flow visualisation</w:t>
      </w:r>
    </w:p>
    <w:p w14:paraId="205D35EA">
      <w:pPr>
        <w:spacing w:before="0" w:after="120" w:line="372" w:lineRule="auto"/>
        <w:jc w:val="both"/>
      </w:pPr>
      <w:r>
        <w:rPr>
          <w:rFonts w:ascii="Calibri" w:hAnsi="Calibri"/>
          <w:color w:val="212121"/>
          <w:sz w:val="20"/>
        </w:rPr>
        <w:t>Before containment is quantified, it is watched: the smoke test is what turns a number into an explanation.</w:t>
      </w:r>
    </w:p>
    <w:p w14:paraId="794B54D5">
      <w:pPr>
        <w:pStyle w:val="00000c"/>
        <w:spacing w:before="280" w:after="100" w:line="300" w:lineRule="auto"/>
        <w:jc w:val="left"/>
      </w:pPr>
      <w:r>
        <w:rPr>
          <w:rFonts w:ascii="Arial" w:hAnsi="Arial"/>
          <w:b w:val="1"/>
          <w:color w:val="1565C0"/>
          <w:sz w:val="22"/>
        </w:rPr>
        <w:t>5.1 Procedure</w:t>
      </w:r>
    </w:p>
    <w:p w14:paraId="7C3B5D44">
      <w:pPr>
        <w:spacing w:before="0" w:after="120" w:line="372" w:lineRule="auto"/>
        <w:jc w:val="both"/>
      </w:pPr>
      <w:r>
        <w:rPr>
          <w:rFonts w:ascii="Calibri" w:hAnsi="Calibri"/>
          <w:color w:val="212121"/>
          <w:sz w:val="20"/>
        </w:rPr>
        <w:t xml:space="preserve">Visualisation is qualitative and it is the test that most often explains a tracer gas failure. Two releases are used. A </w:t>
      </w:r>
      <w:r>
        <w:rPr>
          <w:rFonts w:ascii="Calibri" w:hAnsi="Calibri"/>
          <w:b w:val="1"/>
          <w:color w:val="212121"/>
          <w:sz w:val="20"/>
        </w:rPr>
        <w:t>low-flow</w:t>
      </w:r>
      <w:r>
        <w:rPr>
          <w:rFonts w:ascii="Calibri" w:hAnsi="Calibri"/>
          <w:color w:val="212121"/>
          <w:sz w:val="20"/>
        </w:rPr>
        <w:t xml:space="preserve"> release from a TiCl₄ stick or a small smoke source is made just inside the sash plane, around the perimeter of the opening at roughly 150 mm (6 in) inside, to reveal escape at the stiles, the sill and the header. A </w:t>
      </w:r>
      <w:r>
        <w:rPr>
          <w:rFonts w:ascii="Calibri" w:hAnsi="Calibri"/>
          <w:b w:val="1"/>
          <w:color w:val="212121"/>
          <w:sz w:val="20"/>
        </w:rPr>
        <w:t>high-flow</w:t>
      </w:r>
      <w:r>
        <w:rPr>
          <w:rFonts w:ascii="Calibri" w:hAnsi="Calibri"/>
          <w:color w:val="212121"/>
          <w:sz w:val="20"/>
        </w:rPr>
        <w:t xml:space="preserve"> release from a smoke generator inside the hood body reveals the internal pattern:</w:t>
      </w:r>
    </w:p>
    <w:p w14:paraId="28BC2D95">
      <w:pPr>
        <w:spacing w:before="0" w:after="120" w:line="372" w:lineRule="auto"/>
        <w:jc w:val="both"/>
      </w:pPr>
      <w:r>
        <w:rPr>
          <w:rFonts w:ascii="Calibri" w:hAnsi="Calibri"/>
          <w:color w:val="212121"/>
          <w:sz w:val="20"/>
        </w:rPr>
        <w:t>whether the smoke is drawn cleanly into the baffle slots, whether it rolls forward under the sash, and how long the hood takes to clear.</w:t>
      </w:r>
    </w:p>
    <w:p w14:paraId="72F94691">
      <w:pPr>
        <w:spacing w:before="0" w:after="120" w:line="372" w:lineRule="auto"/>
        <w:jc w:val="both"/>
      </w:pPr>
      <w:r>
        <w:rPr>
          <w:rFonts w:ascii="Calibri" w:hAnsi="Calibri"/>
          <w:color w:val="212121"/>
          <w:sz w:val="20"/>
        </w:rPr>
        <w:t>Acceptance is by observation and must be recorded as such: no visible escape at the perimeter, no forward roll-out over the sill, no stagnant region in the working zone, and a clearance time consistent with the design airflow.</w:t>
      </w:r>
    </w:p>
    <w:p w14:paraId="54A94C64">
      <w:pPr>
        <w:pStyle w:val="00000c"/>
        <w:spacing w:before="280" w:after="100" w:line="300" w:lineRule="auto"/>
        <w:jc w:val="left"/>
      </w:pPr>
      <w:r>
        <w:rPr>
          <w:rFonts w:ascii="Arial" w:hAnsi="Arial"/>
          <w:b w:val="1"/>
          <w:color w:val="1565C0"/>
          <w:sz w:val="22"/>
        </w:rPr>
        <w:t>5.2 What a good pattern looks like</w:t>
      </w:r>
    </w:p>
    <w:p w14:paraId="1DBAE358">
      <w:pPr>
        <w:spacing w:before="0" w:after="120" w:line="372" w:lineRule="auto"/>
        <w:jc w:val="both"/>
      </w:pPr>
      <w:r>
        <w:rPr>
          <w:rFonts w:ascii="Calibri" w:hAnsi="Calibri"/>
          <w:color w:val="212121"/>
          <w:sz w:val="20"/>
        </w:rPr>
        <w:t>In a correctly proportioned hood the smoke divides into three streams: the bulk of it leaves through the lower rear slot, a smaller share through the middle, and the lightest fraction, rising buoyantly, through the top slot. That division is not arbitrary. Published design guidance and CFD comparison work converge on an allocation of roughly 50–60 % of exhaust through the lower slot, 20–30 % through the middle and 10–20 % through the top.</w:t>
      </w:r>
    </w:p>
    <w:p w14:paraId="2E323F47">
      <w:pPr>
        <w:spacing w:before="0" w:after="120" w:line="372" w:lineRule="auto"/>
        <w:jc w:val="both"/>
      </w:pPr>
      <w:r>
        <w:rPr>
          <w:rFonts w:ascii="Calibri" w:hAnsi="Calibri"/>
          <w:color w:val="212121"/>
          <w:sz w:val="20"/>
        </w:rPr>
        <w:t>The lower slot does the safety-critical work. Dense vapours and spill at the sill are captured there, and it is the slot whose geometry is most often compromised — by a hotplate pushed against the rear baffle, by a waste bottle standing in front of it, or by a baffle that has been adjusted to a horizontal position and never reset.</w:t>
      </w:r>
    </w:p>
    <w:p w14:paraId="04BD9A81">
      <w:pPr>
        <w:pStyle w:val="00000c"/>
        <w:spacing w:before="280" w:after="100" w:line="300" w:lineRule="auto"/>
        <w:jc w:val="left"/>
      </w:pPr>
      <w:r>
        <w:rPr>
          <w:rFonts w:ascii="Arial" w:hAnsi="Arial"/>
          <w:b w:val="1"/>
          <w:color w:val="1565C0"/>
          <w:sz w:val="22"/>
        </w:rPr>
        <w:t>5.3 Geometry that produces the pattern</w:t>
      </w:r>
    </w:p>
    <w:p w14:paraId="508B831B">
      <w:pPr>
        <w:spacing w:before="0" w:after="120" w:line="372" w:lineRule="auto"/>
        <w:jc w:val="both"/>
      </w:pPr>
      <w:r>
        <w:rPr>
          <w:rFonts w:ascii="Calibri" w:hAnsi="Calibri"/>
          <w:color w:val="212121"/>
          <w:sz w:val="20"/>
        </w:rPr>
        <w:t>The Deiiang hood is built to a three-slot rear baffle with a profiled underside. Four dimensional rules, all traceable to published CFD work, are applied:</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1C601484">
            <w:pPr>
              <w:spacing w:before="42" w:after="42" w:line="240" w:lineRule="auto"/>
              <w:jc w:val="left"/>
            </w:pPr>
            <w:r>
              <w:rPr>
                <w:rFonts w:ascii="Arial" w:hAnsi="Arial" w:eastAsia="Arial"/>
                <w:b w:val="1"/>
                <w:color w:val="14243F"/>
                <w:sz w:val="17"/>
              </w:rPr>
              <w:t>Parameter</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6B691110">
            <w:pPr>
              <w:spacing w:before="42" w:after="42" w:line="240" w:lineRule="auto"/>
              <w:jc w:val="left"/>
            </w:pPr>
            <w:r>
              <w:rPr>
                <w:rFonts w:ascii="Arial" w:hAnsi="Arial" w:eastAsia="Arial"/>
                <w:b w:val="1"/>
                <w:color w:val="14243F"/>
                <w:sz w:val="17"/>
              </w:rPr>
              <w:t>Design rule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71678F6">
            <w:pPr>
              <w:spacing w:before="42" w:after="42" w:line="240" w:lineRule="auto"/>
              <w:jc w:val="left"/>
            </w:pPr>
            <w:r>
              <w:rPr>
                <w:rFonts w:ascii="Arial" w:hAnsi="Arial" w:eastAsia="Arial"/>
                <w:b w:val="1"/>
                <w:color w:val="14243F"/>
                <w:sz w:val="17"/>
              </w:rPr>
              <w:t>Source of the rule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E193F73">
            <w:pPr>
              <w:spacing w:before="33" w:after="33" w:line="240" w:lineRule="auto"/>
              <w:jc w:val="left"/>
            </w:pPr>
            <w:r>
              <w:rPr>
                <w:rFonts w:ascii="Calibri" w:hAnsi="Calibri" w:eastAsia="Calibri"/>
                <w:color w:val="212121"/>
                <w:sz w:val="17"/>
              </w:rPr>
              <w:t>Lower slot allocation</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FA9298E">
            <w:pPr>
              <w:spacing w:before="33" w:after="33" w:line="240" w:lineRule="auto"/>
              <w:jc w:val="left"/>
            </w:pPr>
            <w:r>
              <w:rPr>
                <w:rFonts w:ascii="Calibri" w:hAnsi="Calibri" w:eastAsia="Calibri"/>
                <w:color w:val="212121"/>
                <w:sz w:val="17"/>
              </w:rPr>
              <w:t>50–60 % of total exhaust</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3E96570">
            <w:pPr>
              <w:spacing w:before="33" w:after="33" w:line="240" w:lineRule="auto"/>
              <w:jc w:val="left"/>
            </w:pPr>
            <w:r>
              <w:rPr>
                <w:rFonts w:ascii="Calibri" w:hAnsi="Calibri" w:eastAsia="Calibri"/>
                <w:color w:val="212121"/>
                <w:sz w:val="17"/>
              </w:rPr>
              <w:t>DAI Scientific CFD comparison, WSU facilities standard</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DC4A6F7">
            <w:pPr>
              <w:spacing w:before="33" w:after="33" w:line="240" w:lineRule="auto"/>
              <w:jc w:val="left"/>
            </w:pPr>
            <w:r>
              <w:rPr>
                <w:rFonts w:ascii="Calibri" w:hAnsi="Calibri" w:eastAsia="Calibri"/>
                <w:color w:val="212121"/>
                <w:sz w:val="17"/>
              </w:rPr>
              <w:t>Underside baffle height</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D392F8B">
            <w:pPr>
              <w:spacing w:before="33" w:after="33" w:line="240" w:lineRule="auto"/>
              <w:jc w:val="left"/>
            </w:pPr>
            <w:r>
              <w:rPr>
                <w:rFonts w:ascii="Calibri" w:hAnsi="Calibri" w:eastAsia="Calibri"/>
                <w:color w:val="212121"/>
                <w:sz w:val="17"/>
              </w:rPr>
              <w:t>≥ 50 mm</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AE961DF">
            <w:pPr>
              <w:spacing w:before="33" w:after="33" w:line="240" w:lineRule="auto"/>
              <w:jc w:val="left"/>
            </w:pPr>
            <w:r>
              <w:rPr>
                <w:rFonts w:ascii="Calibri" w:hAnsi="Calibri" w:eastAsia="Calibri"/>
                <w:color w:val="212121"/>
                <w:sz w:val="17"/>
              </w:rPr>
              <w:t>Shandong University parametric CFD, 2021</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45BEC33">
            <w:pPr>
              <w:spacing w:before="33" w:after="33" w:line="240" w:lineRule="auto"/>
              <w:jc w:val="left"/>
            </w:pPr>
            <w:r>
              <w:rPr>
                <w:rFonts w:ascii="Calibri" w:hAnsi="Calibri" w:eastAsia="Calibri"/>
                <w:color w:val="212121"/>
                <w:sz w:val="17"/>
              </w:rPr>
              <w:t>Underside baffle length</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45AE3BE">
            <w:pPr>
              <w:spacing w:before="33" w:after="33" w:line="240" w:lineRule="auto"/>
              <w:jc w:val="left"/>
            </w:pPr>
            <w:r>
              <w:rPr>
                <w:rFonts w:ascii="Calibri" w:hAnsi="Calibri" w:eastAsia="Calibri"/>
                <w:color w:val="212121"/>
                <w:sz w:val="17"/>
              </w:rPr>
              <w:t>≥ 90 mm</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E3DF2F5">
            <w:pPr>
              <w:spacing w:before="33" w:after="33" w:line="240" w:lineRule="auto"/>
              <w:jc w:val="left"/>
            </w:pPr>
            <w:r>
              <w:rPr>
                <w:rFonts w:ascii="Calibri" w:hAnsi="Calibri" w:eastAsia="Calibri"/>
                <w:color w:val="212121"/>
                <w:sz w:val="17"/>
              </w:rPr>
              <w:t>Same study</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C57C9DE">
            <w:pPr>
              <w:spacing w:before="33" w:after="33" w:line="240" w:lineRule="auto"/>
              <w:jc w:val="left"/>
            </w:pPr>
            <w:r>
              <w:rPr>
                <w:rFonts w:ascii="Calibri" w:hAnsi="Calibri" w:eastAsia="Calibri"/>
                <w:color w:val="212121"/>
                <w:sz w:val="17"/>
              </w:rPr>
              <w:t>Deflector radius</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C5C904B">
            <w:pPr>
              <w:spacing w:before="33" w:after="33" w:line="240" w:lineRule="auto"/>
              <w:jc w:val="left"/>
            </w:pPr>
            <w:r>
              <w:rPr>
                <w:rFonts w:ascii="Calibri" w:hAnsi="Calibri" w:eastAsia="Calibri"/>
                <w:color w:val="212121"/>
                <w:sz w:val="17"/>
              </w:rPr>
              <w:t>≤ 70 mm</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EF96198">
            <w:pPr>
              <w:spacing w:before="33" w:after="33" w:line="240" w:lineRule="auto"/>
              <w:jc w:val="left"/>
            </w:pPr>
            <w:r>
              <w:rPr>
                <w:rFonts w:ascii="Calibri" w:hAnsi="Calibri" w:eastAsia="Calibri"/>
                <w:color w:val="212121"/>
                <w:sz w:val="17"/>
              </w:rPr>
              <w:t>Same study — larger radii excite secondary vortices</w:t>
            </w:r>
          </w:p>
        </w:tc>
      </w:tr>
    </w:tbl>
    <w:p w14:paraId="457EB2DF">
      <w:pPr>
        <w:spacing w:before="0" w:after="120" w:line="372" w:lineRule="auto"/>
        <w:jc w:val="both"/>
      </w:pPr>
      <w:r>
        <w:rPr>
          <w:rFonts w:ascii="Calibri" w:hAnsi="Calibri"/>
          <w:color w:val="212121"/>
          <w:sz w:val="20"/>
        </w:rPr>
        <w:t>The Shandong study is worth understanding rather than merely quoting. It found that when the underside baffle is short and low, a large vortex forms at the centre of the hood and a second vortex forms at the junction between baffle and sidewall. Increasing baffle height past 50 mm and length past 90 mm suppressed both. Adding a deflector eliminated the centre vortex entirely — but only while the deflector radius stayed at or below 70 mm;</w:t>
      </w:r>
    </w:p>
    <w:p w14:paraId="00291BE9">
      <w:pPr>
        <w:spacing w:before="0" w:after="120" w:line="372" w:lineRule="auto"/>
        <w:jc w:val="both"/>
      </w:pPr>
      <w:r>
        <w:rPr>
          <w:rFonts w:ascii="Calibri" w:hAnsi="Calibri"/>
          <w:color w:val="212121"/>
          <w:sz w:val="20"/>
        </w:rPr>
        <w:t>beyond that, the deflector's own trailing edge began to generate a vortex that had not existed before. The lesson is that these are thresholds, not monotonic improvements, and that a hood profile which is "more curved" is not automatically better.</w:t>
      </w:r>
    </w:p>
    <w:p w14:paraId="217FF64C">
      <w:pPr>
        <w:spacing w:before="0" w:after="120" w:line="372" w:lineRule="auto"/>
        <w:jc w:val="both"/>
      </w:pPr>
      <w:r>
        <w:rPr>
          <w:rFonts w:ascii="Calibri" w:hAnsi="Calibri"/>
          <w:color w:val="212121"/>
          <w:sz w:val="20"/>
        </w:rPr>
        <w:t>Perforation shape matters as well. CFD work validated against experiment at UiTM found circular perforations produced the highest flow uniformity index of the shapes tested, with uniformity improving as perforation count rose. Deiiang's mid-height section uses vertical perforation rather than the single horizontal slot of the 1970s to 1990s legacy pattern.</w:t>
      </w:r>
    </w:p>
    <w:p w14:paraId="45DE1015">
      <w:pPr>
        <w:pStyle w:val="00000c"/>
        <w:spacing w:before="280" w:after="100" w:line="300" w:lineRule="auto"/>
        <w:jc w:val="left"/>
      </w:pPr>
      <w:r>
        <w:rPr>
          <w:rFonts w:ascii="Arial" w:hAnsi="Arial"/>
          <w:b w:val="1"/>
          <w:color w:val="1565C0"/>
          <w:sz w:val="22"/>
        </w:rPr>
        <w:t>5.4 Sash and bypass</w:t>
      </w:r>
    </w:p>
    <w:p w14:paraId="0695C04A">
      <w:pPr>
        <w:spacing w:before="0" w:after="120" w:line="372" w:lineRule="auto"/>
        <w:jc w:val="both"/>
      </w:pPr>
      <w:r>
        <w:rPr>
          <w:rFonts w:ascii="Calibri" w:hAnsi="Calibri"/>
          <w:color w:val="212121"/>
          <w:sz w:val="20"/>
        </w:rPr>
        <w:t>The sash is 5 mm tempered glass on the X1 and T3 platforms, carried on a cable lift with infinite hold, with PP clamping strip and handle. Tempered glass is specified because its hard surface survives the abrasion of daily wiping and track friction better than any polymer; it fails safe into small blunt fragments, and its transmission stays above 90 % for the service life of the hood.</w:t>
      </w:r>
    </w:p>
    <w:p w14:paraId="25C400C5">
      <w:pPr>
        <w:spacing w:before="0" w:after="120" w:line="372" w:lineRule="auto"/>
        <w:jc w:val="both"/>
      </w:pPr>
      <w:r>
        <w:rPr>
          <w:rFonts w:ascii="Calibri" w:hAnsi="Calibri"/>
          <w:color w:val="212121"/>
          <w:sz w:val="20"/>
        </w:rPr>
        <w:t>Two exceptions are worth stating for specifiers. Hydrofluoric acid attacks glass and fogs it permanently, so HF service requires a polycarbonate or PP sash regardless of the abrasion penalty. High-security and high-pressure work calls for laminated glass, whose interlayer keeps fragments bonded and prevents the opening from being breached.</w:t>
      </w:r>
    </w:p>
    <w:p w14:paraId="6B336D50">
      <w:pPr>
        <w:spacing w:before="0" w:after="120" w:line="372" w:lineRule="auto"/>
        <w:jc w:val="both"/>
      </w:pPr>
      <w:r>
        <w:rPr>
          <w:rFonts w:ascii="Calibri" w:hAnsi="Calibri"/>
          <w:color w:val="212121"/>
          <w:sz w:val="20"/>
        </w:rPr>
        <w:t>Specifications that follow the 6 mm convention of European practice should state it at order stage; the 5 mm sash on the standard platform satisfies GB 15763.2 and is adequate for normal service, but it is not what a 6 mm clause asks for.</w:t>
      </w:r>
    </w:p>
    <w:p w14:paraId="72F67EF1">
      <w:pPr>
        <w:pStyle w:val="00000c"/>
        <w:spacing w:before="280" w:after="100" w:line="300" w:lineRule="auto"/>
        <w:jc w:val="left"/>
      </w:pPr>
      <w:r>
        <w:rPr>
          <w:rFonts w:ascii="Arial" w:hAnsi="Arial"/>
          <w:b w:val="1"/>
          <w:color w:val="1565C0"/>
          <w:sz w:val="22"/>
        </w:rPr>
        <w:t>5.5 Smoke test record</w:t>
      </w:r>
    </w:p>
    <w:p w14:paraId="1E05B693">
      <w:pPr>
        <w:spacing w:before="0" w:after="120" w:line="372" w:lineRule="auto"/>
        <w:jc w:val="both"/>
      </w:pPr>
      <w:r>
        <w:rPr>
          <w:rFonts w:ascii="Calibri" w:hAnsi="Calibri"/>
          <w:color w:val="212121"/>
          <w:sz w:val="20"/>
        </w:rPr>
        <w:t>The visualisation result should be recorded as a narrative plus a sketch of the pattern at each sash height tested, not as a tick box. A report that says only "smoke test passed" cannot be compared with the next test, and comparison over time is the entire point of routine re-verification.</w:t>
      </w:r>
    </w:p>
    <w:p w14:paraId="7F8AF2C2">
      <w:pPr>
        <w:pStyle w:val="00000a"/>
        <w:pBdr>
          <w:bottom w:val="single" w:color="1565C0" w:sz="9" w:space="0"/>
        </w:pBdr>
        <w:spacing w:before="400" w:after="160" w:line="300" w:lineRule="auto"/>
        <w:jc w:val="left"/>
      </w:pPr>
      <w:bookmarkStart w:id="6" w:name="section-6"/>
      <w:bookmarkEnd w:id="6"/>
      <w:r>
        <w:rPr>
          <w:rFonts w:ascii="Arial" w:hAnsi="Arial"/>
          <w:b w:val="1"/>
          <w:color w:val="14243F"/>
          <w:sz w:val="30"/>
        </w:rPr>
        <w:t>6. Test 3 — Tracer gas containment</w:t>
      </w:r>
    </w:p>
    <w:p w14:paraId="0F97ED9B">
      <w:pPr>
        <w:spacing w:before="0" w:after="120" w:line="372" w:lineRule="auto"/>
        <w:jc w:val="both"/>
      </w:pPr>
      <w:r>
        <w:rPr>
          <w:rFonts w:ascii="Calibri" w:hAnsi="Calibri"/>
          <w:color w:val="212121"/>
          <w:sz w:val="20"/>
        </w:rPr>
        <w:t>Tracer gas is the only test in the standard that produces a figure comparable between hoods, laboratories and years.</w:t>
      </w:r>
    </w:p>
    <w:p w14:paraId="66A8BC8A">
      <w:pPr>
        <w:pStyle w:val="00000c"/>
        <w:spacing w:before="280" w:after="100" w:line="300" w:lineRule="auto"/>
        <w:jc w:val="left"/>
      </w:pPr>
      <w:r>
        <w:rPr>
          <w:rFonts w:ascii="Arial" w:hAnsi="Arial"/>
          <w:b w:val="1"/>
          <w:color w:val="1565C0"/>
          <w:sz w:val="22"/>
        </w:rPr>
        <w:t>6.1 Apparatus</w:t>
      </w:r>
    </w:p>
    <w:p w14:paraId="7F5A3423">
      <w:pPr>
        <w:spacing w:before="0" w:after="120" w:line="372" w:lineRule="auto"/>
        <w:jc w:val="both"/>
      </w:pPr>
      <w:r>
        <w:rPr>
          <w:rFonts w:ascii="Calibri" w:hAnsi="Calibri"/>
          <w:color w:val="212121"/>
          <w:sz w:val="20"/>
        </w:rPr>
        <w:t xml:space="preserve">The tracer is sulphur hexafluoride, released through the ejector defined in the standard's figures. The ejector sits inside the hood, 150 mm (6 in) behind the sash plane, with its calibrated critical orifice passing </w:t>
      </w:r>
      <w:r>
        <w:rPr>
          <w:rFonts w:ascii="Calibri" w:hAnsi="Calibri"/>
          <w:b w:val="1"/>
          <w:color w:val="212121"/>
          <w:sz w:val="20"/>
        </w:rPr>
        <w:t>4 L/min at 30 psi</w:t>
      </w:r>
      <w:r>
        <w:rPr>
          <w:rFonts w:ascii="Calibri" w:hAnsi="Calibri"/>
          <w:color w:val="212121"/>
          <w:sz w:val="20"/>
        </w:rPr>
        <w:t>. A manikin stands in front of the hood with its nose approximately 75 mm (3 in) forward of the sash plane, and the sampling probe is at the breathing zone.</w:t>
      </w:r>
    </w:p>
    <w:p w14:paraId="5DE83700">
      <w:pPr>
        <w:spacing w:before="0" w:after="120" w:line="372" w:lineRule="auto"/>
        <w:jc w:val="both"/>
      </w:pPr>
      <w:r>
        <w:rPr>
          <w:rFonts w:ascii="Calibri" w:hAnsi="Calibri"/>
          <w:color w:val="212121"/>
          <w:sz w:val="20"/>
        </w:rPr>
        <w:t>The analyser is an electron-capture or infrared instrument capable of resolving 0.01 ppm, logging at 1 Hz.</w:t>
      </w:r>
    </w:p>
    <w:p w14:paraId="233BBA56">
      <w:pPr>
        <w:spacing w:before="0" w:after="120" w:line="372" w:lineRule="auto"/>
        <w:jc w:val="both"/>
      </w:pPr>
      <w:r>
        <w:rPr>
          <w:rFonts w:ascii="Calibri" w:hAnsi="Calibri"/>
          <w:color w:val="212121"/>
          <w:sz w:val="20"/>
        </w:rPr>
        <w:t>SF₆ is used because it is absent from normal laboratory air, roughly five times heavier than air, chemically inert, and therefore unambiguous when it appears at the breathing zone. Those same properties make it an extremely potent greenhouse gas — a global warming potential near 24,000 — which is why some jurisdictions now restrict its use for as-used testing and why alternative tracers are under active discussion. A test programme should note which tracer was used;</w:t>
      </w:r>
    </w:p>
    <w:p w14:paraId="5BE1F974">
      <w:pPr>
        <w:spacing w:before="0" w:after="120" w:line="372" w:lineRule="auto"/>
        <w:jc w:val="both"/>
      </w:pPr>
      <w:r>
        <w:rPr>
          <w:rFonts w:ascii="Calibri" w:hAnsi="Calibri"/>
          <w:color w:val="212121"/>
          <w:sz w:val="20"/>
        </w:rPr>
        <w:t>the result is not transferable between tracers without correction.</w:t>
      </w:r>
    </w:p>
    <w:p w14:paraId="323AD225">
      <w:pPr>
        <w:pStyle w:val="00000c"/>
        <w:spacing w:before="280" w:after="100" w:line="300" w:lineRule="auto"/>
        <w:jc w:val="left"/>
      </w:pPr>
      <w:r>
        <w:rPr>
          <w:rFonts w:ascii="Arial" w:hAnsi="Arial"/>
          <w:b w:val="1"/>
          <w:color w:val="1565C0"/>
          <w:sz w:val="22"/>
        </w:rPr>
        <w:t>6.2 The three static positions</w:t>
      </w:r>
    </w:p>
    <w:p w14:paraId="00D7BC9F">
      <w:pPr>
        <w:spacing w:before="0" w:after="120" w:line="372" w:lineRule="auto"/>
        <w:jc w:val="both"/>
      </w:pPr>
      <w:r>
        <w:rPr>
          <w:rFonts w:ascii="Calibri" w:hAnsi="Calibri"/>
          <w:color w:val="212121"/>
          <w:sz w:val="20"/>
        </w:rPr>
        <w:t xml:space="preserve">The manikin is placed at the left, centre and right of the opening in turn, and at each position the concentration is logged for </w:t>
      </w:r>
      <w:r>
        <w:rPr>
          <w:rFonts w:ascii="Calibri" w:hAnsi="Calibri"/>
          <w:b w:val="1"/>
          <w:color w:val="212121"/>
          <w:sz w:val="20"/>
        </w:rPr>
        <w:t>5 minutes at 1 Hz</w:t>
      </w:r>
      <w:r>
        <w:rPr>
          <w:rFonts w:ascii="Calibri" w:hAnsi="Calibri"/>
          <w:color w:val="212121"/>
          <w:sz w:val="20"/>
        </w:rPr>
        <w:t>. The reported values are the 5-minute average, the minimum and the maximum at each position. The hood's containment figure is conventionally the highest of the three position averages; the peak is reported separately and is the value that reveals an intermittent escape event that an average would smooth away.</w:t>
      </w:r>
    </w:p>
    <w:p w14:paraId="4B61D19E">
      <w:pPr>
        <w:spacing w:before="0" w:after="120" w:line="372" w:lineRule="auto"/>
        <w:jc w:val="both"/>
      </w:pPr>
      <w:r>
        <w:rPr>
          <w:rFonts w:ascii="Calibri" w:hAnsi="Calibri"/>
          <w:color w:val="212121"/>
          <w:sz w:val="20"/>
        </w:rPr>
        <w:t>Three positions is a minimum. A hood that passes left and centre and fails at the right stile has a specific and diagnosable defect — usually sash seal geometry or a sidewall bypass — and a single centre-position test would never find it.</w:t>
      </w:r>
    </w:p>
    <w:p w14:paraId="78CF4ED0">
      <w:pPr>
        <w:pStyle w:val="00000c"/>
        <w:spacing w:before="280" w:after="100" w:line="300" w:lineRule="auto"/>
        <w:jc w:val="left"/>
      </w:pPr>
      <w:r>
        <w:rPr>
          <w:rFonts w:ascii="Arial" w:hAnsi="Arial"/>
          <w:b w:val="1"/>
          <w:color w:val="1565C0"/>
          <w:sz w:val="22"/>
        </w:rPr>
        <w:t>6.3 Sash movement effect</w:t>
      </w:r>
    </w:p>
    <w:p w14:paraId="467692A9">
      <w:pPr>
        <w:spacing w:before="0" w:after="120" w:line="372" w:lineRule="auto"/>
        <w:jc w:val="both"/>
      </w:pPr>
      <w:r>
        <w:rPr>
          <w:rFonts w:ascii="Calibri" w:hAnsi="Calibri"/>
          <w:color w:val="212121"/>
          <w:sz w:val="20"/>
        </w:rPr>
        <w:t>The dynamic test is the one that separates a well-controlled hood from a well-built one. With the manikin at the centre, the sash is cycled through three full opening and closing movements at a controlled speed, while concentration is logged continuously. Two figures are reported: the peak, and the 45 s rolling average (RA-Max).</w:t>
      </w:r>
    </w:p>
    <w:p w14:paraId="3C687AB9">
      <w:pPr>
        <w:spacing w:before="0" w:after="120" w:line="372" w:lineRule="auto"/>
        <w:jc w:val="both"/>
      </w:pPr>
      <w:r>
        <w:rPr>
          <w:rFonts w:ascii="Calibri" w:hAnsi="Calibri"/>
          <w:color w:val="212121"/>
          <w:sz w:val="20"/>
        </w:rPr>
        <w:t>This test measures the control system as much as the hood. A VAV terminal that responds in 3 s instead of 1 s, an actuator that is under-torqued for the damper, or a controller with rigid PID parameters will produce a spike at the moment the sash moves — a spike that no amount of baffle optimisation can prevent. It is the reason Section 9 treats the control layer as part of the containment system rather than as an accessory.</w:t>
      </w:r>
    </w:p>
    <w:p w14:paraId="7A5EB45C">
      <w:pPr>
        <w:pStyle w:val="00000c"/>
        <w:spacing w:before="280" w:after="100" w:line="300" w:lineRule="auto"/>
        <w:jc w:val="left"/>
      </w:pPr>
      <w:r>
        <w:rPr>
          <w:rFonts w:ascii="Arial" w:hAnsi="Arial"/>
          <w:b w:val="1"/>
          <w:color w:val="1565C0"/>
          <w:sz w:val="22"/>
        </w:rPr>
        <w:t>6.4 Perimeter scan</w:t>
      </w:r>
    </w:p>
    <w:p w14:paraId="338635E6">
      <w:pPr>
        <w:spacing w:before="0" w:after="120" w:line="372" w:lineRule="auto"/>
        <w:jc w:val="both"/>
      </w:pPr>
      <w:r>
        <w:rPr>
          <w:rFonts w:ascii="Calibri" w:hAnsi="Calibri"/>
          <w:color w:val="212121"/>
          <w:sz w:val="20"/>
        </w:rPr>
        <w:t>The optional perimeter scan traverses the sampling probe around the sash perimeter, at the gap between sash and frame, to find localised leakage paths. It is slow and it is the test most likely to find a gasket defect that the three static positions miss.</w:t>
      </w:r>
    </w:p>
    <w:p w14:paraId="56EB8F94">
      <w:pPr>
        <w:pStyle w:val="00000c"/>
        <w:spacing w:before="280" w:after="100" w:line="300" w:lineRule="auto"/>
        <w:jc w:val="left"/>
      </w:pPr>
      <w:r>
        <w:rPr>
          <w:rFonts w:ascii="Arial" w:hAnsi="Arial"/>
          <w:b w:val="1"/>
          <w:color w:val="1565C0"/>
          <w:sz w:val="22"/>
        </w:rPr>
        <w:t>6.5 Reading the numbers honestly</w:t>
      </w:r>
    </w:p>
    <w:p w14:paraId="71ED6FF9">
      <w:pPr>
        <w:spacing w:before="0" w:after="120" w:line="372" w:lineRule="auto"/>
        <w:jc w:val="both"/>
      </w:pPr>
      <w:r>
        <w:rPr>
          <w:rFonts w:ascii="Calibri" w:hAnsi="Calibri"/>
          <w:color w:val="212121"/>
          <w:sz w:val="20"/>
        </w:rPr>
        <w:t>A reported 0.00 ppm means "below the detection limit of the analyser used", not "zero leakage". Reports should state the analyser's detection limit and the averaging basis. An instrument resolving 0.01 ppm cannot report 0.001 ppm, and a laboratory that compares a 0.00 ppm result from a 0.01 ppm instrument with a 0.003 ppm result from a 0.0001 ppm instrument is comparing instruments, not hoods.</w:t>
      </w:r>
    </w:p>
    <w:p w14:paraId="205D0483">
      <w:pPr>
        <w:spacing w:before="0" w:after="120" w:line="372" w:lineRule="auto"/>
        <w:jc w:val="both"/>
      </w:pPr>
      <w:r>
        <w:rPr>
          <w:rFonts w:ascii="Calibri" w:hAnsi="Calibri"/>
          <w:color w:val="212121"/>
          <w:sz w:val="20"/>
        </w:rPr>
        <w:t>The same caution applies to the difference between an average and a peak. A hood averaging 0.02 ppm with a peak of 0.4 ppm is not obviously safer than one averaging 0.05 ppm with a peak of 0.06 ppm; it depends on whether the peak coincides with a person being present, which it usually does, because the peak is caused by the person moving the sash.</w:t>
      </w:r>
    </w:p>
    <w:p w14:paraId="51719FCC">
      <w:pPr>
        <w:pStyle w:val="00000a"/>
        <w:pBdr>
          <w:bottom w:val="single" w:color="1565C0" w:sz="9" w:space="0"/>
        </w:pBdr>
        <w:spacing w:before="400" w:after="160" w:line="300" w:lineRule="auto"/>
        <w:jc w:val="left"/>
      </w:pPr>
      <w:bookmarkStart w:id="7" w:name="section-7"/>
      <w:bookmarkEnd w:id="7"/>
      <w:r>
        <w:rPr>
          <w:rFonts w:ascii="Arial" w:hAnsi="Arial"/>
          <w:b w:val="1"/>
          <w:color w:val="14243F"/>
          <w:sz w:val="30"/>
        </w:rPr>
        <w:t>7. Acceptance criteria and the citation trap</w:t>
      </w:r>
    </w:p>
    <w:p w14:paraId="6446E617">
      <w:pPr>
        <w:spacing w:before="0" w:after="120" w:line="372" w:lineRule="auto"/>
        <w:jc w:val="both"/>
      </w:pPr>
      <w:r>
        <w:rPr>
          <w:rFonts w:ascii="Calibri" w:hAnsi="Calibri"/>
          <w:color w:val="212121"/>
          <w:sz w:val="20"/>
        </w:rPr>
        <w:t>The limits are the part of the method most often misquoted, so they are set out here with their sources attached.</w:t>
      </w:r>
    </w:p>
    <w:p w14:paraId="33A3EEA1">
      <w:pPr>
        <w:pStyle w:val="00000c"/>
        <w:spacing w:before="280" w:after="100" w:line="300" w:lineRule="auto"/>
        <w:jc w:val="left"/>
      </w:pPr>
      <w:r>
        <w:rPr>
          <w:rFonts w:ascii="Arial" w:hAnsi="Arial"/>
          <w:b w:val="1"/>
          <w:color w:val="1565C0"/>
          <w:sz w:val="22"/>
        </w:rPr>
        <w:t>7.1 Where the limits come from</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1FB4EB5">
            <w:pPr>
              <w:spacing w:before="42" w:after="42" w:line="240" w:lineRule="auto"/>
              <w:jc w:val="left"/>
            </w:pPr>
            <w:r>
              <w:rPr>
                <w:rFonts w:ascii="Arial" w:hAnsi="Arial" w:eastAsia="Arial"/>
                <w:b w:val="1"/>
                <w:color w:val="14243F"/>
                <w:sz w:val="17"/>
              </w:rPr>
              <w:t>Source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25F45A48">
            <w:pPr>
              <w:spacing w:before="42" w:after="42" w:line="240" w:lineRule="auto"/>
              <w:jc w:val="left"/>
            </w:pPr>
            <w:r>
              <w:rPr>
                <w:rFonts w:ascii="Arial" w:hAnsi="Arial" w:eastAsia="Arial"/>
                <w:b w:val="1"/>
                <w:color w:val="14243F"/>
                <w:sz w:val="17"/>
              </w:rPr>
              <w:t>What it supplies</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3170ABAE">
            <w:pPr>
              <w:spacing w:before="42" w:after="42" w:line="240" w:lineRule="auto"/>
              <w:jc w:val="left"/>
            </w:pPr>
            <w:r>
              <w:rPr>
                <w:rFonts w:ascii="Arial" w:hAnsi="Arial" w:eastAsia="Arial"/>
                <w:b w:val="1"/>
                <w:color w:val="14243F"/>
                <w:sz w:val="17"/>
              </w:rPr>
              <w:t>What it does not supply</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A29D302">
            <w:pPr>
              <w:spacing w:before="33" w:after="33" w:line="240" w:lineRule="auto"/>
              <w:jc w:val="left"/>
            </w:pPr>
            <w:r>
              <w:rPr>
                <w:rFonts w:ascii="Calibri" w:hAnsi="Calibri" w:eastAsia="Calibri"/>
                <w:color w:val="212121"/>
                <w:sz w:val="17"/>
              </w:rPr>
              <w:t>ASHRAE 110</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B89F745">
            <w:pPr>
              <w:spacing w:before="33" w:after="33" w:line="240" w:lineRule="auto"/>
              <w:jc w:val="left"/>
            </w:pPr>
            <w:r>
              <w:rPr>
                <w:rFonts w:ascii="Calibri" w:hAnsi="Calibri" w:eastAsia="Calibri"/>
                <w:color w:val="212121"/>
                <w:sz w:val="17"/>
              </w:rPr>
              <w:t>Apparatus, procedure, reporting arithmetic</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E07FF6B">
            <w:pPr>
              <w:spacing w:before="33" w:after="33" w:line="240" w:lineRule="auto"/>
              <w:jc w:val="left"/>
            </w:pPr>
            <w:r>
              <w:rPr>
                <w:rFonts w:ascii="Calibri" w:hAnsi="Calibri" w:eastAsia="Calibri"/>
                <w:color w:val="212121"/>
                <w:sz w:val="17"/>
              </w:rPr>
              <w:t>Any pass/fail value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FBD6183">
            <w:pPr>
              <w:spacing w:before="33" w:after="33" w:line="240" w:lineRule="auto"/>
              <w:jc w:val="left"/>
            </w:pPr>
            <w:r>
              <w:rPr>
                <w:rFonts w:ascii="Calibri" w:hAnsi="Calibri" w:eastAsia="Calibri"/>
                <w:color w:val="212121"/>
                <w:sz w:val="17"/>
              </w:rPr>
              <w:t>Z9.5-2022 §3.4</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20AB3CD">
            <w:pPr>
              <w:spacing w:before="33" w:after="33" w:line="240" w:lineRule="auto"/>
              <w:jc w:val="left"/>
            </w:pPr>
            <w:r>
              <w:rPr>
                <w:rFonts w:ascii="Calibri" w:hAnsi="Calibri" w:eastAsia="Calibri"/>
                <w:color w:val="212121"/>
                <w:sz w:val="17"/>
              </w:rPr>
              <w:t>AM 0.05 ppm, AI 0.10 ppm, AU 0.10 ppm</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9145826">
            <w:pPr>
              <w:spacing w:before="33" w:after="33" w:line="240" w:lineRule="auto"/>
              <w:jc w:val="left"/>
            </w:pPr>
            <w:r>
              <w:rPr>
                <w:rFonts w:ascii="Calibri" w:hAnsi="Calibri" w:eastAsia="Calibri"/>
                <w:color w:val="212121"/>
                <w:sz w:val="17"/>
              </w:rPr>
              <w:t>Test procedure detail</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2E019D">
            <w:pPr>
              <w:spacing w:before="33" w:after="33" w:line="240" w:lineRule="auto"/>
              <w:jc w:val="left"/>
            </w:pPr>
            <w:r>
              <w:rPr>
                <w:rFonts w:ascii="Calibri" w:hAnsi="Calibri" w:eastAsia="Calibri"/>
                <w:color w:val="212121"/>
                <w:sz w:val="17"/>
              </w:rPr>
              <w:t>SEFA 1</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A428EC4">
            <w:pPr>
              <w:spacing w:before="33" w:after="33" w:line="240" w:lineRule="auto"/>
              <w:jc w:val="left"/>
            </w:pPr>
            <w:r>
              <w:rPr>
                <w:rFonts w:ascii="Calibri" w:hAnsi="Calibri" w:eastAsia="Calibri"/>
                <w:color w:val="212121"/>
                <w:sz w:val="17"/>
              </w:rPr>
              <w:t>Obligation to publish AM data; cross-draft guidance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42605DE">
            <w:pPr>
              <w:spacing w:before="33" w:after="33" w:line="240" w:lineRule="auto"/>
              <w:jc w:val="left"/>
            </w:pPr>
            <w:r>
              <w:rPr>
                <w:rFonts w:ascii="Calibri" w:hAnsi="Calibri" w:eastAsia="Calibri"/>
                <w:color w:val="212121"/>
                <w:sz w:val="17"/>
              </w:rPr>
              <w:t>Site acceptance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DE72208">
            <w:pPr>
              <w:spacing w:before="33" w:after="33" w:line="240" w:lineRule="auto"/>
              <w:jc w:val="left"/>
            </w:pPr>
            <w:r>
              <w:rPr>
                <w:rFonts w:ascii="Calibri" w:hAnsi="Calibri" w:eastAsia="Calibri"/>
                <w:color w:val="212121"/>
                <w:sz w:val="17"/>
              </w:rPr>
              <w:t>Owner specification</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6C3BAA7">
            <w:pPr>
              <w:spacing w:before="33" w:after="33" w:line="240" w:lineRule="auto"/>
              <w:jc w:val="left"/>
            </w:pPr>
            <w:r>
              <w:rPr>
                <w:rFonts w:ascii="Calibri" w:hAnsi="Calibri" w:eastAsia="Calibri"/>
                <w:color w:val="212121"/>
                <w:sz w:val="17"/>
              </w:rPr>
              <w:t>The value actually contracted</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863F975">
            <w:pPr>
              <w:spacing w:before="33" w:after="33" w:line="240" w:lineRule="auto"/>
              <w:jc w:val="left"/>
            </w:pPr>
            <w:r>
              <w:rPr>
                <w:rFonts w:ascii="Calibri" w:hAnsi="Calibri" w:eastAsia="Calibri"/>
                <w:color w:val="212121"/>
                <w:sz w:val="17"/>
              </w:rPr>
              <w:t>—</w:t>
            </w:r>
          </w:p>
        </w:tc>
      </w:tr>
    </w:tbl>
    <w:p w14:paraId="33F0CEA7">
      <w:pPr>
        <w:pStyle w:val="00000c"/>
        <w:spacing w:before="280" w:after="100" w:line="300" w:lineRule="auto"/>
        <w:jc w:val="left"/>
      </w:pPr>
      <w:r>
        <w:rPr>
          <w:rFonts w:ascii="Arial" w:hAnsi="Arial"/>
          <w:b w:val="1"/>
          <w:color w:val="1565C0"/>
          <w:sz w:val="22"/>
        </w:rPr>
        <w:t>7.2 The most common errors</w:t>
      </w:r>
    </w:p>
    <w:p w14:paraId="2A9464EB">
      <w:pPr>
        <w:spacing w:before="0" w:after="120" w:line="372" w:lineRule="auto"/>
        <w:jc w:val="both"/>
      </w:pPr>
      <w:r>
        <w:rPr>
          <w:rFonts w:ascii="Calibri" w:hAnsi="Calibri"/>
          <w:color w:val="212121"/>
          <w:sz w:val="20"/>
        </w:rPr>
        <w:t>Four errors recur in tender documents and acceptance reports, and each one has a consequence.</w:t>
      </w:r>
    </w:p>
    <w:p w14:paraId="1F3022F9">
      <w:pPr>
        <w:spacing w:before="0" w:after="120" w:line="372" w:lineRule="auto"/>
        <w:jc w:val="both"/>
      </w:pPr>
      <w:r>
        <w:rPr>
          <w:rFonts w:ascii="Calibri" w:hAnsi="Calibri"/>
          <w:color w:val="212121"/>
          <w:sz w:val="20"/>
        </w:rPr>
        <w:t>The first is quoting 0.05 ppm as the site acceptance value. 0.05 ppm is the as-manufactured control level, achieved in a controlled test room. Applying it to a commissioned laboratory rejects hoods that are performing correctly, and it is not what Z9.5 asks for.</w:t>
      </w:r>
    </w:p>
    <w:p w14:paraId="1B348609">
      <w:pPr>
        <w:spacing w:before="0" w:after="120" w:line="372" w:lineRule="auto"/>
        <w:jc w:val="both"/>
      </w:pPr>
      <w:r>
        <w:rPr>
          <w:rFonts w:ascii="Calibri" w:hAnsi="Calibri"/>
          <w:color w:val="212121"/>
          <w:sz w:val="20"/>
        </w:rPr>
        <w:t>The second is treating ASHRAE 110 as a pass/fail standard. It is not one. A report that states "ASHRAE 110: pass" without a control level and a source has not recorded a result.</w:t>
      </w:r>
    </w:p>
    <w:p w14:paraId="58558D7F">
      <w:pPr>
        <w:spacing w:before="0" w:after="120" w:line="372" w:lineRule="auto"/>
        <w:jc w:val="both"/>
      </w:pPr>
      <w:r>
        <w:rPr>
          <w:rFonts w:ascii="Calibri" w:hAnsi="Calibri"/>
          <w:color w:val="212121"/>
          <w:sz w:val="20"/>
        </w:rPr>
        <w:t>The third is conflating face velocity with capture velocity. Face velocity is measured across the working opening; capture velocity, under AQ/T 4274-2016 or equivalent, is measured near the source in the workplace. They are different physical quantities with different criteria, and putting both in one compliance table produces a number that means nothing.</w:t>
      </w:r>
    </w:p>
    <w:p w14:paraId="45F1E1F1">
      <w:pPr>
        <w:spacing w:before="0" w:after="120" w:line="372" w:lineRule="auto"/>
        <w:jc w:val="both"/>
      </w:pPr>
      <w:r>
        <w:rPr>
          <w:rFonts w:ascii="Calibri" w:hAnsi="Calibri"/>
          <w:color w:val="212121"/>
          <w:sz w:val="20"/>
        </w:rPr>
        <w:t>The fourth is quoting a single face velocity figure as if it were the design criterion. JGJ 91-2019 sets three tiers by maximum allowable concentration — 0.35 / 0.25, 0.50 / 0.40 and 0.75 / 0.65 m/s for mean and minimum respectively. Judging every hood against a flat 0.5 m/s both over-tests benign work and under-tests highly toxic work.</w:t>
      </w:r>
    </w:p>
    <w:p w14:paraId="24502BAD">
      <w:pPr>
        <w:pStyle w:val="00000c"/>
        <w:spacing w:before="280" w:after="100" w:line="300" w:lineRule="auto"/>
        <w:jc w:val="left"/>
      </w:pPr>
      <w:r>
        <w:rPr>
          <w:rFonts w:ascii="Arial" w:hAnsi="Arial"/>
          <w:b w:val="1"/>
          <w:color w:val="1565C0"/>
          <w:sz w:val="22"/>
        </w:rPr>
        <w:t>7.3 A defensible acceptance clause</w:t>
      </w:r>
    </w:p>
    <w:p w14:paraId="2BA76AE4">
      <w:pPr>
        <w:spacing w:before="0" w:after="120" w:line="372" w:lineRule="auto"/>
        <w:jc w:val="both"/>
      </w:pPr>
      <w:r>
        <w:rPr>
          <w:rFonts w:ascii="Calibri" w:hAnsi="Calibri"/>
          <w:color w:val="212121"/>
          <w:sz w:val="20"/>
        </w:rPr>
        <w:t>An acceptance clause that survives audit names five things: the standard and edition; the test state; the control level and the document it comes from; the criterion by which the mean is judged (mean of means, or minimum point); and the instrument's detection limit. Anything less cannot be reproduced by a second party, and a result that cannot be reproduced is not evidence.</w:t>
      </w:r>
    </w:p>
    <w:p w14:paraId="498BE024">
      <w:pPr>
        <w:pStyle w:val="00000a"/>
        <w:pBdr>
          <w:bottom w:val="single" w:color="1565C0" w:sz="9" w:space="0"/>
        </w:pBdr>
        <w:spacing w:before="400" w:after="160" w:line="300" w:lineRule="auto"/>
        <w:jc w:val="left"/>
      </w:pPr>
      <w:bookmarkStart w:id="8" w:name="section-8"/>
      <w:bookmarkEnd w:id="8"/>
      <w:r>
        <w:rPr>
          <w:rFonts w:ascii="Arial" w:hAnsi="Arial"/>
          <w:b w:val="1"/>
          <w:color w:val="14243F"/>
          <w:sz w:val="30"/>
        </w:rPr>
        <w:t>8. Deiiang product compliance matrix</w:t>
      </w:r>
    </w:p>
    <w:p w14:paraId="225E3B6F">
      <w:pPr>
        <w:spacing w:before="0" w:after="120" w:line="372" w:lineRule="auto"/>
        <w:jc w:val="both"/>
      </w:pPr>
      <w:r>
        <w:rPr>
          <w:rFonts w:ascii="Calibri" w:hAnsi="Calibri"/>
          <w:color w:val="212121"/>
          <w:sz w:val="20"/>
        </w:rPr>
        <w:t>This section states what has been measured, on which platform, by whom, and what remains a project-specific obligation.</w:t>
      </w:r>
    </w:p>
    <w:p w14:paraId="2789545F">
      <w:pPr>
        <w:pStyle w:val="00000c"/>
        <w:spacing w:before="280" w:after="100" w:line="300" w:lineRule="auto"/>
        <w:jc w:val="left"/>
      </w:pPr>
      <w:r>
        <w:rPr>
          <w:rFonts w:ascii="Arial" w:hAnsi="Arial"/>
          <w:b w:val="1"/>
          <w:color w:val="1565C0"/>
          <w:sz w:val="22"/>
        </w:rPr>
        <w:t>8.1 What has been tested, and how</w:t>
      </w:r>
    </w:p>
    <w:tbl>
      <w:tblPr>
        <w:tblW w:w="5000" w:type="pct"/>
        <w:tblLayout w:type="autofit"/>
        <w:tblLook w:firstRow="1" w:lastRow="0" w:firstColumn="1" w:lastColumn="0" w:noHBand="0" w:noVBand="1" w:val="04A0"/>
      </w:tblPr>
      <w:tblGrid>
        <w:gridCol w:w="2160"/>
        <w:gridCol w:w="2160"/>
        <w:gridCol w:w="2160"/>
        <w:gridCol w:w="2160"/>
      </w:tblGrid>
      <w:tr>
        <w:trPr/>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5BC473A">
            <w:pPr>
              <w:spacing w:before="42" w:after="42" w:line="240" w:lineRule="auto"/>
              <w:jc w:val="left"/>
            </w:pPr>
            <w:r>
              <w:rPr>
                <w:rFonts w:ascii="Arial" w:hAnsi="Arial" w:eastAsia="Arial"/>
                <w:b w:val="1"/>
                <w:color w:val="14243F"/>
                <w:sz w:val="17"/>
              </w:rPr>
              <w:t>Platform</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D5447EB">
            <w:pPr>
              <w:spacing w:before="42" w:after="42" w:line="240" w:lineRule="auto"/>
              <w:jc w:val="left"/>
            </w:pPr>
            <w:r>
              <w:rPr>
                <w:rFonts w:ascii="Arial" w:hAnsi="Arial" w:eastAsia="Arial"/>
                <w:b w:val="1"/>
                <w:color w:val="14243F"/>
                <w:sz w:val="17"/>
              </w:rPr>
              <w:t>Construction</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67C2360E">
            <w:pPr>
              <w:spacing w:before="42" w:after="42" w:line="240" w:lineRule="auto"/>
              <w:jc w:val="left"/>
            </w:pPr>
            <w:r>
              <w:rPr>
                <w:rFonts w:ascii="Arial" w:hAnsi="Arial" w:eastAsia="Arial"/>
                <w:b w:val="1"/>
                <w:color w:val="14243F"/>
                <w:sz w:val="17"/>
              </w:rPr>
              <w:t>Test basis</w:t>
            </w:r>
          </w:p>
        </w:tc>
        <w:tc>
          <w:tcPr>
            <w:tcW w:w="216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E372923">
            <w:pPr>
              <w:spacing w:before="42" w:after="42" w:line="240" w:lineRule="auto"/>
              <w:jc w:val="left"/>
            </w:pPr>
            <w:r>
              <w:rPr>
                <w:rFonts w:ascii="Arial" w:hAnsi="Arial" w:eastAsia="Arial"/>
                <w:b w:val="1"/>
                <w:color w:val="14243F"/>
                <w:sz w:val="17"/>
              </w:rPr>
              <w:t>Key measured results</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E421238">
            <w:pPr>
              <w:spacing w:before="33" w:after="33" w:line="240" w:lineRule="auto"/>
              <w:jc w:val="left"/>
            </w:pPr>
            <w:r>
              <w:rPr>
                <w:rFonts w:ascii="Calibri" w:hAnsi="Calibri" w:eastAsia="Calibri"/>
                <w:color w:val="212121"/>
                <w:sz w:val="17"/>
              </w:rPr>
              <w:t>T3 high-performance hood</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61E9FD6">
            <w:pPr>
              <w:spacing w:before="33" w:after="33" w:line="240" w:lineRule="auto"/>
              <w:jc w:val="left"/>
            </w:pPr>
            <w:r>
              <w:rPr>
                <w:rFonts w:ascii="Calibri" w:hAnsi="Calibri" w:eastAsia="Calibri"/>
                <w:color w:val="212121"/>
                <w:sz w:val="17"/>
              </w:rPr>
              <w:t>Steel body, corrosion-resistant liner, profiled three-slot baffle</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8FB3D72">
            <w:pPr>
              <w:spacing w:before="33" w:after="33" w:line="240" w:lineRule="auto"/>
              <w:jc w:val="left"/>
            </w:pPr>
            <w:r>
              <w:rPr>
                <w:rFonts w:ascii="Calibri" w:hAnsi="Calibri" w:eastAsia="Calibri"/>
                <w:color w:val="212121"/>
                <w:sz w:val="17"/>
              </w:rPr>
              <w:t>ASHRAE 110-2016, AM, independent test body</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E347E63">
            <w:pPr>
              <w:spacing w:before="33" w:after="33" w:line="240" w:lineRule="auto"/>
              <w:jc w:val="left"/>
            </w:pPr>
            <w:r>
              <w:rPr>
                <w:rFonts w:ascii="Calibri" w:hAnsi="Calibri" w:eastAsia="Calibri"/>
                <w:color w:val="212121"/>
                <w:sz w:val="17"/>
              </w:rPr>
              <w:t>0.50 m/s mean; 6.0 % uniformity; 41 Pa resistance; 0.00 ppm tracer at three positions; RA-Max 0.00 ppm; 1105 m³/h</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A951C41">
            <w:pPr>
              <w:spacing w:before="33" w:after="33" w:line="240" w:lineRule="auto"/>
              <w:jc w:val="left"/>
            </w:pPr>
            <w:r>
              <w:rPr>
                <w:rFonts w:ascii="Calibri" w:hAnsi="Calibri" w:eastAsia="Calibri"/>
                <w:color w:val="212121"/>
                <w:sz w:val="17"/>
              </w:rPr>
              <w:t>X1 all-steel hood</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A50F05B">
            <w:pPr>
              <w:spacing w:before="33" w:after="33" w:line="240" w:lineRule="auto"/>
              <w:jc w:val="left"/>
            </w:pPr>
            <w:r>
              <w:rPr>
                <w:rFonts w:ascii="Calibri" w:hAnsi="Calibri" w:eastAsia="Calibri"/>
                <w:color w:val="212121"/>
                <w:sz w:val="17"/>
              </w:rPr>
              <w:t>1.0 mm galvanised steel, epoxy powder, 5 mm compact liner, 12.7 mm phenolic top</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2CE5C9F">
            <w:pPr>
              <w:spacing w:before="33" w:after="33" w:line="240" w:lineRule="auto"/>
              <w:jc w:val="left"/>
            </w:pPr>
            <w:r>
              <w:rPr>
                <w:rFonts w:ascii="Calibri" w:hAnsi="Calibri" w:eastAsia="Calibri"/>
                <w:color w:val="212121"/>
                <w:sz w:val="17"/>
              </w:rPr>
              <w:t>GB/T 24820-2024, full structural and mechanical protocol</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ED414DA">
            <w:pPr>
              <w:spacing w:before="33" w:after="33" w:line="240" w:lineRule="auto"/>
              <w:jc w:val="left"/>
            </w:pPr>
            <w:r>
              <w:rPr>
                <w:rFonts w:ascii="Calibri" w:hAnsi="Calibri" w:eastAsia="Calibri"/>
                <w:color w:val="212121"/>
                <w:sz w:val="17"/>
              </w:rPr>
              <w:t>Dimensional deviation within ±2 mm; flatness and squareness within tolerance; static load 2000 N; stability under 50 kg impact</w:t>
            </w:r>
          </w:p>
        </w:tc>
      </w:tr>
      <w:tr>
        <w:trPr/>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830837E">
            <w:pPr>
              <w:spacing w:before="33" w:after="33" w:line="240" w:lineRule="auto"/>
              <w:jc w:val="left"/>
            </w:pPr>
            <w:r>
              <w:rPr>
                <w:rFonts w:ascii="Calibri" w:hAnsi="Calibri" w:eastAsia="Calibri"/>
                <w:color w:val="212121"/>
                <w:sz w:val="17"/>
              </w:rPr>
              <w:t>PP hood</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7C1C8AF">
            <w:pPr>
              <w:spacing w:before="33" w:after="33" w:line="240" w:lineRule="auto"/>
              <w:jc w:val="left"/>
            </w:pPr>
            <w:r>
              <w:rPr>
                <w:rFonts w:ascii="Calibri" w:hAnsi="Calibri" w:eastAsia="Calibri"/>
                <w:color w:val="212121"/>
                <w:sz w:val="17"/>
              </w:rPr>
              <w:t>Polypropylene body and liner</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8977536">
            <w:pPr>
              <w:spacing w:before="33" w:after="33" w:line="240" w:lineRule="auto"/>
              <w:jc w:val="left"/>
            </w:pPr>
            <w:r>
              <w:rPr>
                <w:rFonts w:ascii="Calibri" w:hAnsi="Calibri" w:eastAsia="Calibri"/>
                <w:color w:val="212121"/>
                <w:sz w:val="17"/>
              </w:rPr>
              <w:t>GB 24820-2009</w:t>
            </w:r>
          </w:p>
        </w:tc>
        <w:tc>
          <w:tcPr>
            <w:tcW w:w="216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B19AD26">
            <w:pPr>
              <w:spacing w:before="33" w:after="33" w:line="240" w:lineRule="auto"/>
              <w:jc w:val="left"/>
            </w:pPr>
            <w:r>
              <w:rPr>
                <w:rFonts w:ascii="Calibri" w:hAnsi="Calibri" w:eastAsia="Calibri"/>
                <w:color w:val="212121"/>
                <w:sz w:val="17"/>
              </w:rPr>
              <w:t>ASS 24 h corrosion grade 7–8; adhesion grade 0; impact 3.92 J undamaged</w:t>
            </w:r>
          </w:p>
        </w:tc>
      </w:tr>
    </w:tbl>
    <w:p w14:paraId="70089C2E">
      <w:pPr>
        <w:spacing w:before="0" w:after="120" w:line="372" w:lineRule="auto"/>
        <w:jc w:val="both"/>
      </w:pPr>
      <w:r>
        <w:rPr>
          <w:rFonts w:ascii="Calibri" w:hAnsi="Calibri"/>
          <w:color w:val="212121"/>
          <w:sz w:val="20"/>
        </w:rPr>
        <w:t>The T3 result deserves to be read carefully rather than quoted as a headline. A 41 Pa resistance against a 62.5 Pa ceiling means the hood is not working the fan hard to achieve its containment, which is the difference between a hood that passes on the day of test and one that still passes at year eight when the fan has lost 24 % of its airflow — the retention figure measured for fans at eight years' service.</w:t>
      </w:r>
    </w:p>
    <w:p w14:paraId="5D374151">
      <w:pPr>
        <w:spacing w:before="0" w:after="120" w:line="372" w:lineRule="auto"/>
        <w:jc w:val="both"/>
      </w:pPr>
      <w:r>
        <w:rPr>
          <w:rFonts w:ascii="Calibri" w:hAnsi="Calibri"/>
          <w:color w:val="212121"/>
          <w:sz w:val="20"/>
        </w:rPr>
        <w:t>The two structural standards are not substitutes for ASHRAE 110 and are not presented as such. GB/T 24820-2024 and GB 24820-2009 verify that the furniture is square, strong, stable and correctly finished; they say nothing about airflow. A hood can be structurally perfect and contain nothing.</w:t>
      </w:r>
    </w:p>
    <w:p w14:paraId="4808662E">
      <w:pPr>
        <w:pStyle w:val="00000c"/>
        <w:spacing w:before="280" w:after="100" w:line="300" w:lineRule="auto"/>
        <w:jc w:val="left"/>
      </w:pPr>
      <w:r>
        <w:rPr>
          <w:rFonts w:ascii="Arial" w:hAnsi="Arial"/>
          <w:b w:val="1"/>
          <w:color w:val="1565C0"/>
          <w:sz w:val="22"/>
        </w:rPr>
        <w:t>8.2 Design provisions traced to test items</w:t>
      </w:r>
    </w:p>
    <w:p w14:paraId="4A34C2E2">
      <w:pPr>
        <w:spacing w:before="0" w:after="120" w:line="372" w:lineRule="auto"/>
        <w:jc w:val="both"/>
      </w:pPr>
      <w:r>
        <w:rPr>
          <w:rFonts w:ascii="Calibri" w:hAnsi="Calibri"/>
          <w:color w:val="212121"/>
          <w:sz w:val="20"/>
        </w:rPr>
        <w:t>This is the table a technical evaluator should ask for. Each row states a test requirement, the physical feature that satisfies it, and the consequence of omitting that feature.</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45133C4">
            <w:pPr>
              <w:spacing w:before="42" w:after="42" w:line="240" w:lineRule="auto"/>
              <w:jc w:val="left"/>
            </w:pPr>
            <w:r>
              <w:rPr>
                <w:rFonts w:ascii="Arial" w:hAnsi="Arial" w:eastAsia="Arial"/>
                <w:b w:val="1"/>
                <w:color w:val="14243F"/>
                <w:sz w:val="17"/>
              </w:rPr>
              <w:t>ASHRAE 110 item</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379D2D67">
            <w:pPr>
              <w:spacing w:before="42" w:after="42" w:line="240" w:lineRule="auto"/>
              <w:jc w:val="left"/>
            </w:pPr>
            <w:r>
              <w:rPr>
                <w:rFonts w:ascii="Arial" w:hAnsi="Arial" w:eastAsia="Arial"/>
                <w:b w:val="1"/>
                <w:color w:val="14243F"/>
                <w:sz w:val="17"/>
              </w:rPr>
              <w:t>Deiiang design provision</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CD356FA">
            <w:pPr>
              <w:spacing w:before="42" w:after="42" w:line="240" w:lineRule="auto"/>
              <w:jc w:val="left"/>
            </w:pPr>
            <w:r>
              <w:rPr>
                <w:rFonts w:ascii="Arial" w:hAnsi="Arial" w:eastAsia="Arial"/>
                <w:b w:val="1"/>
                <w:color w:val="14243F"/>
                <w:sz w:val="17"/>
              </w:rPr>
              <w:t>Consequence if absent</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CEA1C50">
            <w:pPr>
              <w:spacing w:before="33" w:after="33" w:line="240" w:lineRule="auto"/>
              <w:jc w:val="left"/>
            </w:pPr>
            <w:r>
              <w:rPr>
                <w:rFonts w:ascii="Calibri" w:hAnsi="Calibri" w:eastAsia="Calibri"/>
                <w:color w:val="212121"/>
                <w:sz w:val="17"/>
              </w:rPr>
              <w:t>Face velocity uniformity</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59F58CE">
            <w:pPr>
              <w:spacing w:before="33" w:after="33" w:line="240" w:lineRule="auto"/>
              <w:jc w:val="left"/>
            </w:pPr>
            <w:r>
              <w:rPr>
                <w:rFonts w:ascii="Calibri" w:hAnsi="Calibri" w:eastAsia="Calibri"/>
                <w:color w:val="212121"/>
                <w:sz w:val="17"/>
              </w:rPr>
              <w:t>Three-slot baffle with proportional allocation; vertical perforation at mid-height; profiled underside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D8EBA2D">
            <w:pPr>
              <w:spacing w:before="33" w:after="33" w:line="240" w:lineRule="auto"/>
              <w:jc w:val="left"/>
            </w:pPr>
            <w:r>
              <w:rPr>
                <w:rFonts w:ascii="Calibri" w:hAnsi="Calibri" w:eastAsia="Calibri"/>
                <w:color w:val="212121"/>
                <w:sz w:val="17"/>
              </w:rPr>
              <w:t>Local low-velocity zones at the stiles; average looks compliant while a point sits below 60 % of mean</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C18453D">
            <w:pPr>
              <w:spacing w:before="33" w:after="33" w:line="240" w:lineRule="auto"/>
              <w:jc w:val="left"/>
            </w:pPr>
            <w:r>
              <w:rPr>
                <w:rFonts w:ascii="Calibri" w:hAnsi="Calibri" w:eastAsia="Calibri"/>
                <w:color w:val="212121"/>
                <w:sz w:val="17"/>
              </w:rPr>
              <w:t>Containment at the sill</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6F8DB08">
            <w:pPr>
              <w:spacing w:before="33" w:after="33" w:line="240" w:lineRule="auto"/>
              <w:jc w:val="left"/>
            </w:pPr>
            <w:r>
              <w:rPr>
                <w:rFonts w:ascii="Calibri" w:hAnsi="Calibri" w:eastAsia="Calibri"/>
                <w:color w:val="212121"/>
                <w:sz w:val="17"/>
              </w:rPr>
              <w:t>Lower slot at 2.5 in class width capturing 50–60 % of exhaust; sill airfoil</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627E8AA">
            <w:pPr>
              <w:spacing w:before="33" w:after="33" w:line="240" w:lineRule="auto"/>
              <w:jc w:val="left"/>
            </w:pPr>
            <w:r>
              <w:rPr>
                <w:rFonts w:ascii="Calibri" w:hAnsi="Calibri" w:eastAsia="Calibri"/>
                <w:color w:val="212121"/>
                <w:sz w:val="17"/>
              </w:rPr>
              <w:t>Dense vapour spill-back onto the operator's forearms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3ECFC33">
            <w:pPr>
              <w:spacing w:before="33" w:after="33" w:line="240" w:lineRule="auto"/>
              <w:jc w:val="left"/>
            </w:pPr>
            <w:r>
              <w:rPr>
                <w:rFonts w:ascii="Calibri" w:hAnsi="Calibri" w:eastAsia="Calibri"/>
                <w:color w:val="212121"/>
                <w:sz w:val="17"/>
              </w:rPr>
              <w:t>Containment under buoyant load</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A09FC42">
            <w:pPr>
              <w:spacing w:before="33" w:after="33" w:line="240" w:lineRule="auto"/>
              <w:jc w:val="left"/>
            </w:pPr>
            <w:r>
              <w:rPr>
                <w:rFonts w:ascii="Calibri" w:hAnsi="Calibri" w:eastAsia="Calibri"/>
                <w:color w:val="212121"/>
                <w:sz w:val="17"/>
              </w:rPr>
              <w:t>Top slot at 10–20 % allocation</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07394A2">
            <w:pPr>
              <w:spacing w:before="33" w:after="33" w:line="240" w:lineRule="auto"/>
              <w:jc w:val="left"/>
            </w:pPr>
            <w:r>
              <w:rPr>
                <w:rFonts w:ascii="Calibri" w:hAnsi="Calibri" w:eastAsia="Calibri"/>
                <w:color w:val="212121"/>
                <w:sz w:val="17"/>
              </w:rPr>
              <w:t>Hot vapours collect under the header and escape on sash movement</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7D59FC2">
            <w:pPr>
              <w:spacing w:before="33" w:after="33" w:line="240" w:lineRule="auto"/>
              <w:jc w:val="left"/>
            </w:pPr>
            <w:r>
              <w:rPr>
                <w:rFonts w:ascii="Calibri" w:hAnsi="Calibri" w:eastAsia="Calibri"/>
                <w:color w:val="212121"/>
                <w:sz w:val="17"/>
              </w:rPr>
              <w:t>Vortex suppression</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EC37BEA">
            <w:pPr>
              <w:spacing w:before="33" w:after="33" w:line="240" w:lineRule="auto"/>
              <w:jc w:val="left"/>
            </w:pPr>
            <w:r>
              <w:rPr>
                <w:rFonts w:ascii="Calibri" w:hAnsi="Calibri" w:eastAsia="Calibri"/>
                <w:color w:val="212121"/>
                <w:sz w:val="17"/>
              </w:rPr>
              <w:t>Underside baffle ≥50 mm high, ≥90 mm long; deflector radius ≤70 mm</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57D57F3">
            <w:pPr>
              <w:spacing w:before="33" w:after="33" w:line="240" w:lineRule="auto"/>
              <w:jc w:val="left"/>
            </w:pPr>
            <w:r>
              <w:rPr>
                <w:rFonts w:ascii="Calibri" w:hAnsi="Calibri" w:eastAsia="Calibri"/>
                <w:color w:val="212121"/>
                <w:sz w:val="17"/>
              </w:rPr>
              <w:t>Centre vortex and baffle-to-sidewall vortex; smoke rolls forward</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32DEDC4">
            <w:pPr>
              <w:spacing w:before="33" w:after="33" w:line="240" w:lineRule="auto"/>
              <w:jc w:val="left"/>
            </w:pPr>
            <w:r>
              <w:rPr>
                <w:rFonts w:ascii="Calibri" w:hAnsi="Calibri" w:eastAsia="Calibri"/>
                <w:color w:val="212121"/>
                <w:sz w:val="17"/>
              </w:rPr>
              <w:t>Visual clarity and abrasion life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92A3D9F">
            <w:pPr>
              <w:spacing w:before="33" w:after="33" w:line="240" w:lineRule="auto"/>
              <w:jc w:val="left"/>
            </w:pPr>
            <w:r>
              <w:rPr>
                <w:rFonts w:ascii="Calibri" w:hAnsi="Calibri" w:eastAsia="Calibri"/>
                <w:color w:val="212121"/>
                <w:sz w:val="17"/>
              </w:rPr>
              <w:t>5 mm tempered glass sash, cable lift with infinite hold</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FC14D1F">
            <w:pPr>
              <w:spacing w:before="33" w:after="33" w:line="240" w:lineRule="auto"/>
              <w:jc w:val="left"/>
            </w:pPr>
            <w:r>
              <w:rPr>
                <w:rFonts w:ascii="Calibri" w:hAnsi="Calibri" w:eastAsia="Calibri"/>
                <w:color w:val="212121"/>
                <w:sz w:val="17"/>
              </w:rPr>
              <w:t>Scratched or clouded sash; operator raises it higher than needed</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60A7AE1">
            <w:pPr>
              <w:spacing w:before="33" w:after="33" w:line="240" w:lineRule="auto"/>
              <w:jc w:val="left"/>
            </w:pPr>
            <w:r>
              <w:rPr>
                <w:rFonts w:ascii="Calibri" w:hAnsi="Calibri" w:eastAsia="Calibri"/>
                <w:color w:val="212121"/>
                <w:sz w:val="17"/>
              </w:rPr>
              <w:t>Dynamic containment</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33327AB">
            <w:pPr>
              <w:spacing w:before="33" w:after="33" w:line="240" w:lineRule="auto"/>
              <w:jc w:val="left"/>
            </w:pPr>
            <w:r>
              <w:rPr>
                <w:rFonts w:ascii="Calibri" w:hAnsi="Calibri" w:eastAsia="Calibri"/>
                <w:color w:val="212121"/>
                <w:sz w:val="17"/>
              </w:rPr>
              <w:t>VAV terminal with pressure-independent control, &lt;1 s response, matched actuator torque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1DF28F6">
            <w:pPr>
              <w:spacing w:before="33" w:after="33" w:line="240" w:lineRule="auto"/>
              <w:jc w:val="left"/>
            </w:pPr>
            <w:r>
              <w:rPr>
                <w:rFonts w:ascii="Calibri" w:hAnsi="Calibri" w:eastAsia="Calibri"/>
                <w:color w:val="212121"/>
                <w:sz w:val="17"/>
              </w:rPr>
              <w:t>Concentration spike at every sash movement</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23AC921">
            <w:pPr>
              <w:spacing w:before="33" w:after="33" w:line="240" w:lineRule="auto"/>
              <w:jc w:val="left"/>
            </w:pPr>
            <w:r>
              <w:rPr>
                <w:rFonts w:ascii="Calibri" w:hAnsi="Calibri" w:eastAsia="Calibri"/>
                <w:color w:val="212121"/>
                <w:sz w:val="17"/>
              </w:rPr>
              <w:t>Repeatability across service life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0EC95EF">
            <w:pPr>
              <w:spacing w:before="33" w:after="33" w:line="240" w:lineRule="auto"/>
              <w:jc w:val="left"/>
            </w:pPr>
            <w:r>
              <w:rPr>
                <w:rFonts w:ascii="Calibri" w:hAnsi="Calibri" w:eastAsia="Calibri"/>
                <w:color w:val="212121"/>
                <w:sz w:val="17"/>
              </w:rPr>
              <w:t>Low resistance design (41 Pa measured); accessible baffle; sealed duct joints</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5ACE61F">
            <w:pPr>
              <w:spacing w:before="33" w:after="33" w:line="240" w:lineRule="auto"/>
              <w:jc w:val="left"/>
            </w:pPr>
            <w:r>
              <w:rPr>
                <w:rFonts w:ascii="Calibri" w:hAnsi="Calibri" w:eastAsia="Calibri"/>
                <w:color w:val="212121"/>
                <w:sz w:val="17"/>
              </w:rPr>
              <w:t>Progressive loss of flow; pass at commissioning, fail at year three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EFC8764">
            <w:pPr>
              <w:spacing w:before="33" w:after="33" w:line="240" w:lineRule="auto"/>
              <w:jc w:val="left"/>
            </w:pPr>
            <w:r>
              <w:rPr>
                <w:rFonts w:ascii="Calibri" w:hAnsi="Calibri" w:eastAsia="Calibri"/>
                <w:color w:val="212121"/>
                <w:sz w:val="17"/>
              </w:rPr>
              <w:t>Perimeter integrity</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CFA3B61">
            <w:pPr>
              <w:spacing w:before="33" w:after="33" w:line="240" w:lineRule="auto"/>
              <w:jc w:val="left"/>
            </w:pPr>
            <w:r>
              <w:rPr>
                <w:rFonts w:ascii="Calibri" w:hAnsi="Calibri" w:eastAsia="Calibri"/>
                <w:color w:val="212121"/>
                <w:sz w:val="17"/>
              </w:rPr>
              <w:t>Continuous PP clamping strip; gasket at sash frame; sealed sidewall penetrations</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CA6E0A6">
            <w:pPr>
              <w:spacing w:before="33" w:after="33" w:line="240" w:lineRule="auto"/>
              <w:jc w:val="left"/>
            </w:pPr>
            <w:r>
              <w:rPr>
                <w:rFonts w:ascii="Calibri" w:hAnsi="Calibri" w:eastAsia="Calibri"/>
                <w:color w:val="212121"/>
                <w:sz w:val="17"/>
              </w:rPr>
              <w:t>Localised leak found only by perimeter scan</w:t>
            </w:r>
          </w:p>
        </w:tc>
      </w:tr>
    </w:tbl>
    <w:p w14:paraId="2D7DBD27">
      <w:pPr>
        <w:pStyle w:val="00000c"/>
        <w:spacing w:before="280" w:after="100" w:line="300" w:lineRule="auto"/>
        <w:jc w:val="left"/>
      </w:pPr>
      <w:r>
        <w:rPr>
          <w:rFonts w:ascii="Arial" w:hAnsi="Arial"/>
          <w:b w:val="1"/>
          <w:color w:val="1565C0"/>
          <w:sz w:val="22"/>
        </w:rPr>
        <w:t>8.3 What Deiiang does not claim</w:t>
      </w:r>
    </w:p>
    <w:p w14:paraId="0D54B06E">
      <w:pPr>
        <w:spacing w:before="0" w:after="120" w:line="372" w:lineRule="auto"/>
        <w:jc w:val="both"/>
      </w:pPr>
      <w:r>
        <w:rPr>
          <w:rFonts w:ascii="Calibri" w:hAnsi="Calibri"/>
          <w:color w:val="212121"/>
          <w:sz w:val="20"/>
        </w:rPr>
        <w:t>Three honest limits belong in any compliance dossier.</w:t>
      </w:r>
    </w:p>
    <w:p w14:paraId="4EA4B9B3">
      <w:pPr>
        <w:spacing w:before="0" w:after="120" w:line="372" w:lineRule="auto"/>
        <w:jc w:val="both"/>
      </w:pPr>
      <w:r>
        <w:rPr>
          <w:rFonts w:ascii="Calibri" w:hAnsi="Calibri"/>
          <w:color w:val="212121"/>
          <w:sz w:val="20"/>
        </w:rPr>
        <w:t>AM data exists for the T3 platform; it does not exist for every size and variant, and a project specifying a 1800 mm X1 should ask for the AM data for that width rather than inferring it from the 1500 mm figure. Containment does not scale linearly with width, because the sidewall boundary layer becomes a smaller fraction of the opening as the hood widens.</w:t>
      </w:r>
    </w:p>
    <w:p w14:paraId="5AD4EAA9">
      <w:pPr>
        <w:spacing w:before="0" w:after="120" w:line="372" w:lineRule="auto"/>
        <w:jc w:val="both"/>
      </w:pPr>
      <w:r>
        <w:rPr>
          <w:rFonts w:ascii="Calibri" w:hAnsi="Calibri"/>
          <w:color w:val="212121"/>
          <w:sz w:val="20"/>
        </w:rPr>
        <w:t>AI results are site results. Deiiang can supply the procedure, the control layer and the commissioning support, but the number belongs to the laboratory and the test agency.</w:t>
      </w:r>
    </w:p>
    <w:p w14:paraId="215EB70D">
      <w:pPr>
        <w:spacing w:before="0" w:after="120" w:line="372" w:lineRule="auto"/>
        <w:jc w:val="both"/>
      </w:pPr>
      <w:r>
        <w:rPr>
          <w:rFonts w:ascii="Calibri" w:hAnsi="Calibri"/>
          <w:color w:val="212121"/>
          <w:sz w:val="20"/>
        </w:rPr>
        <w:t>AU results depend on the apparatus. No supplier can warrant them.</w:t>
      </w:r>
    </w:p>
    <w:p w14:paraId="3D538BB7">
      <w:pPr>
        <w:pStyle w:val="00000a"/>
        <w:pBdr>
          <w:bottom w:val="single" w:color="1565C0" w:sz="9" w:space="0"/>
        </w:pBdr>
        <w:spacing w:before="400" w:after="160" w:line="300" w:lineRule="auto"/>
        <w:jc w:val="left"/>
      </w:pPr>
      <w:bookmarkStart w:id="9" w:name="section-9"/>
      <w:bookmarkEnd w:id="9"/>
      <w:r>
        <w:rPr>
          <w:rFonts w:ascii="Arial" w:hAnsi="Arial"/>
          <w:b w:val="1"/>
          <w:color w:val="14243F"/>
          <w:sz w:val="30"/>
        </w:rPr>
        <w:t>9. The control layer: why a test result is reproducible</w:t>
      </w:r>
    </w:p>
    <w:p w14:paraId="3A6D5C44">
      <w:pPr>
        <w:spacing w:before="0" w:after="120" w:line="372" w:lineRule="auto"/>
        <w:jc w:val="both"/>
      </w:pPr>
      <w:r>
        <w:rPr>
          <w:rFonts w:ascii="Calibri" w:hAnsi="Calibri"/>
          <w:color w:val="212121"/>
          <w:sz w:val="20"/>
        </w:rPr>
        <w:t>A fume hood is a passive device until it is connected to a control system. The containment figures in Section 8 were obtained with the airflow held stable; keeping it stable for the next ten years is the job of the layer described here.</w:t>
      </w:r>
    </w:p>
    <w:p w14:paraId="5C9BD36F">
      <w:pPr>
        <w:pStyle w:val="00000c"/>
        <w:spacing w:before="280" w:after="100" w:line="300" w:lineRule="auto"/>
        <w:jc w:val="left"/>
      </w:pPr>
      <w:r>
        <w:rPr>
          <w:rFonts w:ascii="Arial" w:hAnsi="Arial"/>
          <w:b w:val="1"/>
          <w:color w:val="1565C0"/>
          <w:sz w:val="22"/>
        </w:rPr>
        <w:t>9.1 Terminals</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2528BE3">
            <w:pPr>
              <w:spacing w:before="42" w:after="42" w:line="240" w:lineRule="auto"/>
              <w:jc w:val="left"/>
            </w:pPr>
            <w:r>
              <w:rPr>
                <w:rFonts w:ascii="Arial" w:hAnsi="Arial" w:eastAsia="Arial"/>
                <w:b w:val="1"/>
                <w:color w:val="14243F"/>
                <w:sz w:val="17"/>
              </w:rPr>
              <w:t>Device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C8A6477">
            <w:pPr>
              <w:spacing w:before="42" w:after="42" w:line="240" w:lineRule="auto"/>
              <w:jc w:val="left"/>
            </w:pPr>
            <w:r>
              <w:rPr>
                <w:rFonts w:ascii="Arial" w:hAnsi="Arial" w:eastAsia="Arial"/>
                <w:b w:val="1"/>
                <w:color w:val="14243F"/>
                <w:sz w:val="17"/>
              </w:rPr>
              <w:t>Function</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71EF8DF3">
            <w:pPr>
              <w:spacing w:before="42" w:after="42" w:line="240" w:lineRule="auto"/>
              <w:jc w:val="left"/>
            </w:pPr>
            <w:r>
              <w:rPr>
                <w:rFonts w:ascii="Arial" w:hAnsi="Arial" w:eastAsia="Arial"/>
                <w:b w:val="1"/>
                <w:color w:val="14243F"/>
                <w:sz w:val="17"/>
              </w:rPr>
              <w:t>Relevance to ASHRAE 110</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C6DCE31">
            <w:pPr>
              <w:spacing w:before="33" w:after="33" w:line="240" w:lineRule="auto"/>
              <w:jc w:val="left"/>
            </w:pPr>
            <w:r>
              <w:rPr>
                <w:rFonts w:ascii="Calibri" w:hAnsi="Calibri" w:eastAsia="Calibri"/>
                <w:color w:val="212121"/>
                <w:sz w:val="17"/>
              </w:rPr>
              <w:t>Venturi VAV valve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DA42246">
            <w:pPr>
              <w:spacing w:before="33" w:after="33" w:line="240" w:lineRule="auto"/>
              <w:jc w:val="left"/>
            </w:pPr>
            <w:r>
              <w:rPr>
                <w:rFonts w:ascii="Calibri" w:hAnsi="Calibri" w:eastAsia="Calibri"/>
                <w:color w:val="212121"/>
                <w:sz w:val="17"/>
              </w:rPr>
              <w:t>Pressure-independent flow control, ±3 % accuracy, 150–750 Pa independence, &lt;1 s response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60E5426">
            <w:pPr>
              <w:spacing w:before="33" w:after="33" w:line="240" w:lineRule="auto"/>
              <w:jc w:val="left"/>
            </w:pPr>
            <w:r>
              <w:rPr>
                <w:rFonts w:ascii="Calibri" w:hAnsi="Calibri" w:eastAsia="Calibri"/>
                <w:color w:val="212121"/>
                <w:sz w:val="17"/>
              </w:rPr>
              <w:t>Holds face velocity through duct pressure changes from other hoods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389B64C">
            <w:pPr>
              <w:spacing w:before="33" w:after="33" w:line="240" w:lineRule="auto"/>
              <w:jc w:val="left"/>
            </w:pPr>
            <w:r>
              <w:rPr>
                <w:rFonts w:ascii="Calibri" w:hAnsi="Calibri" w:eastAsia="Calibri"/>
                <w:color w:val="212121"/>
                <w:sz w:val="17"/>
              </w:rPr>
              <w:t>CAV valve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22C2807">
            <w:pPr>
              <w:spacing w:before="33" w:after="33" w:line="240" w:lineRule="auto"/>
              <w:jc w:val="left"/>
            </w:pPr>
            <w:r>
              <w:rPr>
                <w:rFonts w:ascii="Calibri" w:hAnsi="Calibri" w:eastAsia="Calibri"/>
                <w:color w:val="212121"/>
                <w:sz w:val="17"/>
              </w:rPr>
              <w:t>Fixed flow, pressure-independent, no external power</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83A4908">
            <w:pPr>
              <w:spacing w:before="33" w:after="33" w:line="240" w:lineRule="auto"/>
              <w:jc w:val="left"/>
            </w:pPr>
            <w:r>
              <w:rPr>
                <w:rFonts w:ascii="Calibri" w:hAnsi="Calibri" w:eastAsia="Calibri"/>
                <w:color w:val="212121"/>
                <w:sz w:val="17"/>
              </w:rPr>
              <w:t>Stable baseline for constant-volume hoods; no control-induced oscillation</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76F3C29">
            <w:pPr>
              <w:spacing w:before="33" w:after="33" w:line="240" w:lineRule="auto"/>
              <w:jc w:val="left"/>
            </w:pPr>
            <w:r>
              <w:rPr>
                <w:rFonts w:ascii="Calibri" w:hAnsi="Calibri" w:eastAsia="Calibri"/>
                <w:color w:val="212121"/>
                <w:sz w:val="17"/>
              </w:rPr>
              <w:t>Butterfly VAV valve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F6415AD">
            <w:pPr>
              <w:spacing w:before="33" w:after="33" w:line="240" w:lineRule="auto"/>
              <w:jc w:val="left"/>
            </w:pPr>
            <w:r>
              <w:rPr>
                <w:rFonts w:ascii="Calibri" w:hAnsi="Calibri" w:eastAsia="Calibri"/>
                <w:color w:val="212121"/>
                <w:sz w:val="17"/>
              </w:rPr>
              <w:t>Fast modulating control with venturi measurement</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D6D6CC7">
            <w:pPr>
              <w:spacing w:before="33" w:after="33" w:line="240" w:lineRule="auto"/>
              <w:jc w:val="left"/>
            </w:pPr>
            <w:r>
              <w:rPr>
                <w:rFonts w:ascii="Calibri" w:hAnsi="Calibri" w:eastAsia="Calibri"/>
                <w:color w:val="212121"/>
                <w:sz w:val="17"/>
              </w:rPr>
              <w:t>Cost-effective dynamic response for general chemistry</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41B356C">
            <w:pPr>
              <w:spacing w:before="33" w:after="33" w:line="240" w:lineRule="auto"/>
              <w:jc w:val="left"/>
            </w:pPr>
            <w:r>
              <w:rPr>
                <w:rFonts w:ascii="Calibri" w:hAnsi="Calibri" w:eastAsia="Calibri"/>
                <w:color w:val="212121"/>
                <w:sz w:val="17"/>
              </w:rPr>
              <w:t>Pitot-tube VAV valve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E965AA8">
            <w:pPr>
              <w:spacing w:before="33" w:after="33" w:line="240" w:lineRule="auto"/>
              <w:jc w:val="left"/>
            </w:pPr>
            <w:r>
              <w:rPr>
                <w:rFonts w:ascii="Calibri" w:hAnsi="Calibri" w:eastAsia="Calibri"/>
                <w:color w:val="212121"/>
                <w:sz w:val="17"/>
              </w:rPr>
              <w:t>High accuracy with host communication</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1439623">
            <w:pPr>
              <w:spacing w:before="33" w:after="33" w:line="240" w:lineRule="auto"/>
              <w:jc w:val="left"/>
            </w:pPr>
            <w:r>
              <w:rPr>
                <w:rFonts w:ascii="Calibri" w:hAnsi="Calibri" w:eastAsia="Calibri"/>
                <w:color w:val="212121"/>
                <w:sz w:val="17"/>
              </w:rPr>
              <w:t>Where the specification demands logged airflow</w:t>
            </w:r>
          </w:p>
        </w:tc>
      </w:tr>
    </w:tbl>
    <w:p w14:paraId="37D25882">
      <w:pPr>
        <w:pStyle w:val="00000c"/>
        <w:spacing w:before="280" w:after="100" w:line="300" w:lineRule="auto"/>
        <w:jc w:val="left"/>
      </w:pPr>
      <w:r>
        <w:rPr>
          <w:rFonts w:ascii="Arial" w:hAnsi="Arial"/>
          <w:b w:val="1"/>
          <w:color w:val="1565C0"/>
          <w:sz w:val="22"/>
        </w:rPr>
        <w:t>9.2 Controllers</w:t>
      </w:r>
    </w:p>
    <w:p w14:paraId="7240FCC1">
      <w:pPr>
        <w:spacing w:before="0" w:after="120" w:line="372" w:lineRule="auto"/>
        <w:jc w:val="both"/>
      </w:pPr>
      <w:r>
        <w:rPr>
          <w:rFonts w:ascii="Calibri" w:hAnsi="Calibri"/>
          <w:color w:val="212121"/>
          <w:sz w:val="20"/>
        </w:rPr>
        <w:t>The FHC10/11/12/100 family drives the terminal from sash position and face velocity. FHC10 integrates controller, sensor input and alarm in one housing with Modbus RTU, an energy-saving mode and emergency exhaust; FHC11 adds an independent communication port and relay outputs for BMS integration; FHC12 accepts third-party actuators, which matters in retrofit; FHC100 accepts displacement or velocity sensors and incorporates the automatic sash motor controller.</w:t>
      </w:r>
    </w:p>
    <w:p w14:paraId="195FE3C6">
      <w:pPr>
        <w:spacing w:before="0" w:after="120" w:line="372" w:lineRule="auto"/>
        <w:jc w:val="both"/>
      </w:pPr>
      <w:r>
        <w:rPr>
          <w:rFonts w:ascii="Calibri" w:hAnsi="Calibri"/>
          <w:color w:val="212121"/>
          <w:sz w:val="20"/>
        </w:rPr>
        <w:t>The QAVC10/12 and ZPC211 handle room-level flow and pressure: variable or constant volume, room pressure gradient control, noise below 30 dB(A), BACnet and Modbus. They are what keeps a suite of hoods from fighting each other when one sash opens.</w:t>
      </w:r>
    </w:p>
    <w:p w14:paraId="12D3E07A">
      <w:pPr>
        <w:pStyle w:val="00000c"/>
        <w:spacing w:before="280" w:after="100" w:line="300" w:lineRule="auto"/>
        <w:jc w:val="left"/>
      </w:pPr>
      <w:r>
        <w:rPr>
          <w:rFonts w:ascii="Arial" w:hAnsi="Arial"/>
          <w:b w:val="1"/>
          <w:color w:val="1565C0"/>
          <w:sz w:val="22"/>
        </w:rPr>
        <w:t>9.3 Automatic sash and presence detection</w:t>
      </w:r>
    </w:p>
    <w:p w14:paraId="3AECDA7E">
      <w:pPr>
        <w:spacing w:before="0" w:after="120" w:line="372" w:lineRule="auto"/>
        <w:jc w:val="both"/>
      </w:pPr>
      <w:r>
        <w:rPr>
          <w:rFonts w:ascii="Calibri" w:hAnsi="Calibri"/>
          <w:color w:val="212121"/>
          <w:sz w:val="20"/>
        </w:rPr>
        <w:t>The FSC10 sash controller supports manual, follow and energy-saving modes, with presence detection, foot switch and infrared anti-pinch, and outputs sash position as an analogue signal. Two effects bear on ASHRAE 110 results. The first is direct:</w:t>
      </w:r>
    </w:p>
    <w:p w14:paraId="5743FFFF">
      <w:pPr>
        <w:spacing w:before="0" w:after="120" w:line="372" w:lineRule="auto"/>
        <w:jc w:val="both"/>
      </w:pPr>
      <w:r>
        <w:rPr>
          <w:rFonts w:ascii="Calibri" w:hAnsi="Calibri"/>
          <w:color w:val="212121"/>
          <w:sz w:val="20"/>
        </w:rPr>
        <w:t>an automatically closing sash holds the working opening at the design height, which is the single most effective containment measure available, because it removes the user behaviour that NEBB attributes to a quarter of all tracer-gas failures. The second is indirect: the analogue position signal lets the VAV terminal anticipate the airflow change instead of reacting to it, which shortens the concentration spike during sash movement.</w:t>
      </w:r>
    </w:p>
    <w:p w14:paraId="5A6D96E6">
      <w:pPr>
        <w:pStyle w:val="00000c"/>
        <w:spacing w:before="280" w:after="100" w:line="300" w:lineRule="auto"/>
        <w:jc w:val="left"/>
      </w:pPr>
      <w:r>
        <w:rPr>
          <w:rFonts w:ascii="Arial" w:hAnsi="Arial"/>
          <w:b w:val="1"/>
          <w:color w:val="1565C0"/>
          <w:sz w:val="22"/>
        </w:rPr>
        <w:t>9.4 Fan and duct</w:t>
      </w:r>
    </w:p>
    <w:p w14:paraId="51C003F3">
      <w:pPr>
        <w:spacing w:before="0" w:after="120" w:line="372" w:lineRule="auto"/>
        <w:jc w:val="both"/>
      </w:pPr>
      <w:r>
        <w:rPr>
          <w:rFonts w:ascii="Calibri" w:hAnsi="Calibri"/>
          <w:color w:val="212121"/>
          <w:sz w:val="20"/>
        </w:rPr>
        <w:t>The EC permanent-magnet motor range (0.75–22 kW integrated drive; 11–55 kW direct-drive) holds efficiency in the low-speed range where laboratories actually operate, with 12 protection functions including locked rotor, phase loss and overload. Constant-pressure control through the VFD cabinet keeps duct static pressure flat as hoods open and close, which is the condition under which a VAV terminal's pressure independence is actually tested.</w:t>
      </w:r>
    </w:p>
    <w:p w14:paraId="3540DDE8">
      <w:pPr>
        <w:spacing w:before="0" w:after="120" w:line="372" w:lineRule="auto"/>
        <w:jc w:val="both"/>
      </w:pPr>
      <w:r>
        <w:rPr>
          <w:rFonts w:ascii="Calibri" w:hAnsi="Calibri"/>
          <w:color w:val="212121"/>
          <w:sz w:val="20"/>
        </w:rPr>
        <w:t>Ductwork is extruded PP from φ110 to φ1000 mm with moulded fittings. Two details affect measured containment more than their cost suggests: branch entries should be radiused rather than square-tapped, and the expansion angle at a transition should be held below 60°, because the Shanghai survey found 46.9 % of exhaust hoods exceeding the 90° limit and paying for it in static pressure and in unstable flow at the hood collar.</w:t>
      </w:r>
    </w:p>
    <w:p w14:paraId="370BB43C">
      <w:pPr>
        <w:pStyle w:val="00000a"/>
        <w:pBdr>
          <w:bottom w:val="single" w:color="1565C0" w:sz="9" w:space="0"/>
        </w:pBdr>
        <w:spacing w:before="400" w:after="160" w:line="300" w:lineRule="auto"/>
        <w:jc w:val="left"/>
      </w:pPr>
      <w:bookmarkStart w:id="10" w:name="section-10"/>
      <w:bookmarkEnd w:id="10"/>
      <w:r>
        <w:rPr>
          <w:rFonts w:ascii="Arial" w:hAnsi="Arial"/>
          <w:b w:val="1"/>
          <w:color w:val="14243F"/>
          <w:sz w:val="30"/>
        </w:rPr>
        <w:t>10. As-installed commissioning: a twelve-step protocol</w:t>
      </w:r>
    </w:p>
    <w:p w14:paraId="6B407583">
      <w:pPr>
        <w:spacing w:before="0" w:after="120" w:line="372" w:lineRule="auto"/>
        <w:jc w:val="both"/>
      </w:pPr>
      <w:r>
        <w:rPr>
          <w:rFonts w:ascii="Calibri" w:hAnsi="Calibri"/>
          <w:color w:val="212121"/>
          <w:sz w:val="20"/>
        </w:rPr>
        <w:t>This is the sequence Deiiang recommends for AI testing. It is ordered so that each step's precondition is established by the step before it.</w:t>
      </w:r>
    </w:p>
    <w:p w14:paraId="1BE57209">
      <w:pPr>
        <w:pStyle w:val="000032"/>
        <w:numPr>
          <w:ilvl w:val="0"/>
          <w:numId w:val="1"/>
        </w:numPr>
        <w:spacing w:before="0" w:after="80" w:line="372" w:lineRule="auto"/>
        <w:jc w:val="both"/>
      </w:pPr>
      <w:r>
        <w:rPr>
          <w:rFonts w:ascii="Calibri" w:hAnsi="Calibri"/>
          <w:b w:val="1"/>
          <w:color w:val="212121"/>
          <w:sz w:val="20"/>
        </w:rPr>
        <w:t>1.</w:t>
      </w:r>
      <w:r>
        <w:rPr>
          <w:rFonts w:ascii="Calibri" w:hAnsi="Calibri"/>
          <w:color w:val="212121"/>
          <w:sz w:val="20"/>
        </w:rPr>
        <w:t xml:space="preserve"> </w:t>
      </w:r>
      <w:r>
        <w:rPr>
          <w:rFonts w:ascii="Calibri" w:hAnsi="Calibri"/>
          <w:b w:val="1"/>
          <w:color w:val="212121"/>
          <w:sz w:val="20"/>
        </w:rPr>
        <w:t>Verify the room before the hood.</w:t>
      </w:r>
      <w:r>
        <w:rPr>
          <w:rFonts w:ascii="Calibri" w:hAnsi="Calibri"/>
          <w:color w:val="212121"/>
          <w:sz w:val="20"/>
        </w:rPr>
        <w:t xml:space="preserve"> Measure supply and exhaust airflow, room differential pressure and door undercut. A hood cannot be commissioned in an unbalanced room.</w:t>
      </w:r>
    </w:p>
    <w:p w14:paraId="138F918F">
      <w:pPr>
        <w:pStyle w:val="000032"/>
        <w:numPr>
          <w:ilvl w:val="0"/>
          <w:numId w:val="1"/>
        </w:numPr>
        <w:spacing w:before="0" w:after="80" w:line="372" w:lineRule="auto"/>
        <w:jc w:val="both"/>
      </w:pPr>
      <w:r>
        <w:rPr>
          <w:rFonts w:ascii="Calibri" w:hAnsi="Calibri"/>
          <w:b w:val="1"/>
          <w:color w:val="212121"/>
          <w:sz w:val="20"/>
        </w:rPr>
        <w:t>2.</w:t>
      </w:r>
      <w:r>
        <w:rPr>
          <w:rFonts w:ascii="Calibri" w:hAnsi="Calibri"/>
          <w:color w:val="212121"/>
          <w:sz w:val="20"/>
        </w:rPr>
        <w:t xml:space="preserve"> </w:t>
      </w:r>
      <w:r>
        <w:rPr>
          <w:rFonts w:ascii="Calibri" w:hAnsi="Calibri"/>
          <w:b w:val="1"/>
          <w:color w:val="212121"/>
          <w:sz w:val="20"/>
        </w:rPr>
        <w:t>Confirm the design sash position</w:t>
      </w:r>
      <w:r>
        <w:rPr>
          <w:rFonts w:ascii="Calibri" w:hAnsi="Calibri"/>
          <w:color w:val="212121"/>
          <w:sz w:val="20"/>
        </w:rPr>
        <w:t xml:space="preserve"> in writing. Every subsequent measurement is referenced to it, and a later test at a different opening is not comparable.</w:t>
      </w:r>
    </w:p>
    <w:p w14:paraId="28A52A1E">
      <w:pPr>
        <w:pStyle w:val="000032"/>
        <w:numPr>
          <w:ilvl w:val="0"/>
          <w:numId w:val="1"/>
        </w:numPr>
        <w:spacing w:before="0" w:after="80" w:line="372" w:lineRule="auto"/>
        <w:jc w:val="both"/>
      </w:pPr>
      <w:r>
        <w:rPr>
          <w:rFonts w:ascii="Calibri" w:hAnsi="Calibri"/>
          <w:b w:val="1"/>
          <w:color w:val="212121"/>
          <w:sz w:val="20"/>
        </w:rPr>
        <w:t>3.</w:t>
      </w:r>
      <w:r>
        <w:rPr>
          <w:rFonts w:ascii="Calibri" w:hAnsi="Calibri"/>
          <w:color w:val="212121"/>
          <w:sz w:val="20"/>
        </w:rPr>
        <w:t xml:space="preserve"> </w:t>
      </w:r>
      <w:r>
        <w:rPr>
          <w:rFonts w:ascii="Calibri" w:hAnsi="Calibri"/>
          <w:b w:val="1"/>
          <w:color w:val="212121"/>
          <w:sz w:val="20"/>
        </w:rPr>
        <w:t>Measure cross-draft</w:t>
      </w:r>
      <w:r>
        <w:rPr>
          <w:rFonts w:ascii="Calibri" w:hAnsi="Calibri"/>
          <w:color w:val="212121"/>
          <w:sz w:val="20"/>
        </w:rPr>
        <w:t xml:space="preserve"> at 0.5 m in front of the opening, 30 s average. Record it even when it passes.</w:t>
      </w:r>
    </w:p>
    <w:p w14:paraId="26C0A5EE">
      <w:pPr>
        <w:pStyle w:val="000032"/>
        <w:numPr>
          <w:ilvl w:val="0"/>
          <w:numId w:val="1"/>
        </w:numPr>
        <w:spacing w:before="0" w:after="80" w:line="372" w:lineRule="auto"/>
        <w:jc w:val="both"/>
      </w:pPr>
      <w:r>
        <w:rPr>
          <w:rFonts w:ascii="Calibri" w:hAnsi="Calibri"/>
          <w:b w:val="1"/>
          <w:color w:val="212121"/>
          <w:sz w:val="20"/>
        </w:rPr>
        <w:t>4.</w:t>
      </w:r>
      <w:r>
        <w:rPr>
          <w:rFonts w:ascii="Calibri" w:hAnsi="Calibri"/>
          <w:color w:val="212121"/>
          <w:sz w:val="20"/>
        </w:rPr>
        <w:t xml:space="preserve"> </w:t>
      </w:r>
      <w:r>
        <w:rPr>
          <w:rFonts w:ascii="Calibri" w:hAnsi="Calibri"/>
          <w:b w:val="1"/>
          <w:color w:val="212121"/>
          <w:sz w:val="20"/>
        </w:rPr>
        <w:t>Establish airflow</w:t>
      </w:r>
      <w:r>
        <w:rPr>
          <w:rFonts w:ascii="Calibri" w:hAnsi="Calibri"/>
          <w:color w:val="212121"/>
          <w:sz w:val="20"/>
        </w:rPr>
        <w:t xml:space="preserve"> at the design value; record fan speed, damper position and duct static pressure.</w:t>
      </w:r>
    </w:p>
    <w:p w14:paraId="2C3B87CE">
      <w:pPr>
        <w:pStyle w:val="000032"/>
        <w:numPr>
          <w:ilvl w:val="0"/>
          <w:numId w:val="1"/>
        </w:numPr>
        <w:spacing w:before="0" w:after="80" w:line="372" w:lineRule="auto"/>
        <w:jc w:val="both"/>
      </w:pPr>
      <w:r>
        <w:rPr>
          <w:rFonts w:ascii="Calibri" w:hAnsi="Calibri"/>
          <w:b w:val="1"/>
          <w:color w:val="212121"/>
          <w:sz w:val="20"/>
        </w:rPr>
        <w:t>5.</w:t>
      </w:r>
      <w:r>
        <w:rPr>
          <w:rFonts w:ascii="Calibri" w:hAnsi="Calibri"/>
          <w:color w:val="212121"/>
          <w:sz w:val="20"/>
        </w:rPr>
        <w:t xml:space="preserve"> </w:t>
      </w:r>
      <w:r>
        <w:rPr>
          <w:rFonts w:ascii="Calibri" w:hAnsi="Calibri"/>
          <w:b w:val="1"/>
          <w:color w:val="212121"/>
          <w:sz w:val="20"/>
        </w:rPr>
        <w:t>Run the face velocity grid</w:t>
      </w:r>
      <w:r>
        <w:rPr>
          <w:rFonts w:ascii="Calibri" w:hAnsi="Calibri"/>
          <w:color w:val="212121"/>
          <w:sz w:val="20"/>
        </w:rPr>
        <w:t xml:space="preserve"> at the design sash position, then at 25 %, 50 % and 100 % opening.</w:t>
      </w:r>
    </w:p>
    <w:p w14:paraId="5AE50532">
      <w:pPr>
        <w:pStyle w:val="000032"/>
        <w:numPr>
          <w:ilvl w:val="0"/>
          <w:numId w:val="1"/>
        </w:numPr>
        <w:spacing w:before="0" w:after="80" w:line="372" w:lineRule="auto"/>
        <w:jc w:val="both"/>
      </w:pPr>
      <w:r>
        <w:rPr>
          <w:rFonts w:ascii="Calibri" w:hAnsi="Calibri"/>
          <w:b w:val="1"/>
          <w:color w:val="212121"/>
          <w:sz w:val="20"/>
        </w:rPr>
        <w:t>6.</w:t>
      </w:r>
      <w:r>
        <w:rPr>
          <w:rFonts w:ascii="Calibri" w:hAnsi="Calibri"/>
          <w:color w:val="212121"/>
          <w:sz w:val="20"/>
        </w:rPr>
        <w:t xml:space="preserve"> </w:t>
      </w:r>
      <w:r>
        <w:rPr>
          <w:rFonts w:ascii="Calibri" w:hAnsi="Calibri"/>
          <w:b w:val="1"/>
          <w:color w:val="212121"/>
          <w:sz w:val="20"/>
        </w:rPr>
        <w:t>Record the uniformity</w:t>
      </w:r>
      <w:r>
        <w:rPr>
          <w:rFonts w:ascii="Calibri" w:hAnsi="Calibri"/>
          <w:color w:val="212121"/>
          <w:sz w:val="20"/>
        </w:rPr>
        <w:t>, not only the mean. Flag any point below the specification's minimum.</w:t>
      </w:r>
    </w:p>
    <w:p w14:paraId="7B76C40E">
      <w:pPr>
        <w:pStyle w:val="000032"/>
        <w:numPr>
          <w:ilvl w:val="0"/>
          <w:numId w:val="1"/>
        </w:numPr>
        <w:spacing w:before="0" w:after="80" w:line="372" w:lineRule="auto"/>
        <w:jc w:val="both"/>
      </w:pPr>
      <w:r>
        <w:rPr>
          <w:rFonts w:ascii="Calibri" w:hAnsi="Calibri"/>
          <w:b w:val="1"/>
          <w:color w:val="212121"/>
          <w:sz w:val="20"/>
        </w:rPr>
        <w:t>7.</w:t>
      </w:r>
      <w:r>
        <w:rPr>
          <w:rFonts w:ascii="Calibri" w:hAnsi="Calibri"/>
          <w:color w:val="212121"/>
          <w:sz w:val="20"/>
        </w:rPr>
        <w:t xml:space="preserve"> </w:t>
      </w:r>
      <w:r>
        <w:rPr>
          <w:rFonts w:ascii="Calibri" w:hAnsi="Calibri"/>
          <w:b w:val="1"/>
          <w:color w:val="212121"/>
          <w:sz w:val="20"/>
        </w:rPr>
        <w:t>Run low-flow visualisation</w:t>
      </w:r>
      <w:r>
        <w:rPr>
          <w:rFonts w:ascii="Calibri" w:hAnsi="Calibri"/>
          <w:color w:val="212121"/>
          <w:sz w:val="20"/>
        </w:rPr>
        <w:t xml:space="preserve"> around the sash perimeter with the laboratory in its normal operating state.</w:t>
      </w:r>
    </w:p>
    <w:p w14:paraId="4F24E934">
      <w:pPr>
        <w:pStyle w:val="000032"/>
        <w:numPr>
          <w:ilvl w:val="0"/>
          <w:numId w:val="1"/>
        </w:numPr>
        <w:spacing w:before="0" w:after="80" w:line="372" w:lineRule="auto"/>
        <w:jc w:val="both"/>
      </w:pPr>
      <w:r>
        <w:rPr>
          <w:rFonts w:ascii="Calibri" w:hAnsi="Calibri"/>
          <w:b w:val="1"/>
          <w:color w:val="212121"/>
          <w:sz w:val="20"/>
        </w:rPr>
        <w:t>8.</w:t>
      </w:r>
      <w:r>
        <w:rPr>
          <w:rFonts w:ascii="Calibri" w:hAnsi="Calibri"/>
          <w:color w:val="212121"/>
          <w:sz w:val="20"/>
        </w:rPr>
        <w:t xml:space="preserve"> </w:t>
      </w:r>
      <w:r>
        <w:rPr>
          <w:rFonts w:ascii="Calibri" w:hAnsi="Calibri"/>
          <w:b w:val="1"/>
          <w:color w:val="212121"/>
          <w:sz w:val="20"/>
        </w:rPr>
        <w:t>Run high-flow visualisation</w:t>
      </w:r>
      <w:r>
        <w:rPr>
          <w:rFonts w:ascii="Calibri" w:hAnsi="Calibri"/>
          <w:color w:val="212121"/>
          <w:sz w:val="20"/>
        </w:rPr>
        <w:t xml:space="preserve"> inside the hood; record pattern and clearance time.</w:t>
      </w:r>
    </w:p>
    <w:p w14:paraId="2098AA26">
      <w:pPr>
        <w:pStyle w:val="000032"/>
        <w:numPr>
          <w:ilvl w:val="0"/>
          <w:numId w:val="1"/>
        </w:numPr>
        <w:spacing w:before="0" w:after="80" w:line="372" w:lineRule="auto"/>
        <w:jc w:val="both"/>
      </w:pPr>
      <w:r>
        <w:rPr>
          <w:rFonts w:ascii="Calibri" w:hAnsi="Calibri"/>
          <w:b w:val="1"/>
          <w:color w:val="212121"/>
          <w:sz w:val="20"/>
        </w:rPr>
        <w:t>9.</w:t>
      </w:r>
      <w:r>
        <w:rPr>
          <w:rFonts w:ascii="Calibri" w:hAnsi="Calibri"/>
          <w:color w:val="212121"/>
          <w:sz w:val="20"/>
        </w:rPr>
        <w:t xml:space="preserve"> </w:t>
      </w:r>
      <w:r>
        <w:rPr>
          <w:rFonts w:ascii="Calibri" w:hAnsi="Calibri"/>
          <w:b w:val="1"/>
          <w:color w:val="212121"/>
          <w:sz w:val="20"/>
        </w:rPr>
        <w:t>Run tracer gas</w:t>
      </w:r>
      <w:r>
        <w:rPr>
          <w:rFonts w:ascii="Calibri" w:hAnsi="Calibri"/>
          <w:color w:val="212121"/>
          <w:sz w:val="20"/>
        </w:rPr>
        <w:t xml:space="preserve"> at left, centre and right, 5 minutes each, 1 Hz.</w:t>
      </w:r>
    </w:p>
    <w:p w14:paraId="62BBA147">
      <w:pPr>
        <w:pStyle w:val="000032"/>
        <w:numPr>
          <w:ilvl w:val="0"/>
          <w:numId w:val="1"/>
        </w:numPr>
        <w:spacing w:before="0" w:after="80" w:line="372" w:lineRule="auto"/>
        <w:jc w:val="both"/>
      </w:pPr>
      <w:r>
        <w:rPr>
          <w:rFonts w:ascii="Calibri" w:hAnsi="Calibri"/>
          <w:b w:val="1"/>
          <w:color w:val="212121"/>
          <w:sz w:val="20"/>
        </w:rPr>
        <w:t>10.</w:t>
      </w:r>
      <w:r>
        <w:rPr>
          <w:rFonts w:ascii="Calibri" w:hAnsi="Calibri"/>
          <w:color w:val="212121"/>
          <w:sz w:val="20"/>
        </w:rPr>
        <w:t xml:space="preserve"> </w:t>
      </w:r>
      <w:r>
        <w:rPr>
          <w:rFonts w:ascii="Calibri" w:hAnsi="Calibri"/>
          <w:b w:val="1"/>
          <w:color w:val="212121"/>
          <w:sz w:val="20"/>
        </w:rPr>
        <w:t>Run the sash movement test</w:t>
      </w:r>
      <w:r>
        <w:rPr>
          <w:rFonts w:ascii="Calibri" w:hAnsi="Calibri"/>
          <w:color w:val="212121"/>
          <w:sz w:val="20"/>
        </w:rPr>
        <w:t>, three cycles, report RA-Max and peak.</w:t>
      </w:r>
    </w:p>
    <w:p w14:paraId="6FC08F69">
      <w:pPr>
        <w:pStyle w:val="000032"/>
        <w:numPr>
          <w:ilvl w:val="0"/>
          <w:numId w:val="1"/>
        </w:numPr>
        <w:spacing w:before="0" w:after="80" w:line="372" w:lineRule="auto"/>
        <w:jc w:val="both"/>
      </w:pPr>
      <w:r>
        <w:rPr>
          <w:rFonts w:ascii="Calibri" w:hAnsi="Calibri"/>
          <w:b w:val="1"/>
          <w:color w:val="212121"/>
          <w:sz w:val="20"/>
        </w:rPr>
        <w:t>11.</w:t>
      </w:r>
      <w:r>
        <w:rPr>
          <w:rFonts w:ascii="Calibri" w:hAnsi="Calibri"/>
          <w:color w:val="212121"/>
          <w:sz w:val="20"/>
        </w:rPr>
        <w:t xml:space="preserve"> </w:t>
      </w:r>
      <w:r>
        <w:rPr>
          <w:rFonts w:ascii="Calibri" w:hAnsi="Calibri"/>
          <w:b w:val="1"/>
          <w:color w:val="212121"/>
          <w:sz w:val="20"/>
        </w:rPr>
        <w:t>Run the perimeter scan</w:t>
      </w:r>
      <w:r>
        <w:rPr>
          <w:rFonts w:ascii="Calibri" w:hAnsi="Calibri"/>
          <w:color w:val="212121"/>
          <w:sz w:val="20"/>
        </w:rPr>
        <w:t xml:space="preserve"> where the specification requires it or where step 7 showed any doubt.</w:t>
      </w:r>
    </w:p>
    <w:p w14:paraId="5AF6750B">
      <w:pPr>
        <w:pStyle w:val="000032"/>
        <w:numPr>
          <w:ilvl w:val="0"/>
          <w:numId w:val="1"/>
        </w:numPr>
        <w:spacing w:before="0" w:after="80" w:line="372" w:lineRule="auto"/>
        <w:jc w:val="both"/>
      </w:pPr>
      <w:r>
        <w:rPr>
          <w:rFonts w:ascii="Calibri" w:hAnsi="Calibri"/>
          <w:b w:val="1"/>
          <w:color w:val="212121"/>
          <w:sz w:val="20"/>
        </w:rPr>
        <w:t>12.</w:t>
      </w:r>
      <w:r>
        <w:rPr>
          <w:rFonts w:ascii="Calibri" w:hAnsi="Calibri"/>
          <w:color w:val="212121"/>
          <w:sz w:val="20"/>
        </w:rPr>
        <w:t xml:space="preserve"> </w:t>
      </w:r>
      <w:r>
        <w:rPr>
          <w:rFonts w:ascii="Calibri" w:hAnsi="Calibri"/>
          <w:b w:val="1"/>
          <w:color w:val="212121"/>
          <w:sz w:val="20"/>
        </w:rPr>
        <w:t>Post the result.</w:t>
      </w:r>
      <w:r>
        <w:rPr>
          <w:rFonts w:ascii="Calibri" w:hAnsi="Calibri"/>
          <w:color w:val="212121"/>
          <w:sz w:val="20"/>
        </w:rPr>
        <w:t xml:space="preserve"> Date, mean face velocity, sash position, test state and any restriction, on the hood itself.</w:t>
      </w:r>
    </w:p>
    <w:p w14:paraId="10F7BC65">
      <w:pPr>
        <w:spacing w:before="0" w:after="120" w:line="372" w:lineRule="auto"/>
        <w:jc w:val="both"/>
      </w:pPr>
      <w:r>
        <w:rPr>
          <w:rFonts w:ascii="Calibri" w:hAnsi="Calibri"/>
          <w:color w:val="212121"/>
          <w:sz w:val="20"/>
        </w:rPr>
        <w:t>Steps 1 and 2 are the ones most often skipped and most often responsible for a failed commissioning that gets blamed on the product. A hood tested in a room at −40 Pa with a diffuser blowing at its face will fail, and the failure will be recorded against the hood.</w:t>
      </w:r>
    </w:p>
    <w:p w14:paraId="02D30EAF">
      <w:pPr>
        <w:pStyle w:val="00000a"/>
        <w:pBdr>
          <w:bottom w:val="single" w:color="1565C0" w:sz="9" w:space="0"/>
        </w:pBdr>
        <w:spacing w:before="400" w:after="160" w:line="300" w:lineRule="auto"/>
        <w:jc w:val="left"/>
      </w:pPr>
      <w:bookmarkStart w:id="11" w:name="section-11"/>
      <w:bookmarkEnd w:id="11"/>
      <w:r>
        <w:rPr>
          <w:rFonts w:ascii="Arial" w:hAnsi="Arial"/>
          <w:b w:val="1"/>
          <w:color w:val="14243F"/>
          <w:sz w:val="30"/>
        </w:rPr>
        <w:t>11. As-used verification and the annual cycle</w:t>
      </w:r>
    </w:p>
    <w:p w14:paraId="328A2888">
      <w:pPr>
        <w:spacing w:before="0" w:after="120" w:line="372" w:lineRule="auto"/>
        <w:jc w:val="both"/>
      </w:pPr>
      <w:r>
        <w:rPr>
          <w:rFonts w:ascii="Calibri" w:hAnsi="Calibri"/>
          <w:color w:val="212121"/>
          <w:sz w:val="20"/>
        </w:rPr>
        <w:t>Commissioning proves a hood on one day; the annual cycle is what keeps the number true afterwards.</w:t>
      </w:r>
    </w:p>
    <w:p w14:paraId="5825494D">
      <w:pPr>
        <w:pStyle w:val="00000c"/>
        <w:spacing w:before="280" w:after="100" w:line="300" w:lineRule="auto"/>
        <w:jc w:val="left"/>
      </w:pPr>
      <w:r>
        <w:rPr>
          <w:rFonts w:ascii="Arial" w:hAnsi="Arial"/>
          <w:b w:val="1"/>
          <w:color w:val="1565C0"/>
          <w:sz w:val="22"/>
        </w:rPr>
        <w:t>11.1 What routine testing must contain</w:t>
      </w:r>
    </w:p>
    <w:p w14:paraId="2D1A3E85">
      <w:pPr>
        <w:spacing w:before="0" w:after="120" w:line="372" w:lineRule="auto"/>
        <w:jc w:val="both"/>
      </w:pPr>
      <w:r>
        <w:rPr>
          <w:rFonts w:ascii="Calibri" w:hAnsi="Calibri"/>
          <w:color w:val="212121"/>
          <w:sz w:val="20"/>
        </w:rPr>
        <w:t>Z9.5-2022 requires routine performance testing at least annually, and after any significant change to the hood system or the laboratory. The minimum scope is: inspection of hood and room; velocity measurement; cross-draft measurement; VAV response and stability where applicable; verification of presence sensor and controls; verification of monitor and alarm; and airflow visualisation.</w:t>
      </w:r>
    </w:p>
    <w:p w14:paraId="7EA4BAC0">
      <w:pPr>
        <w:spacing w:before="0" w:after="120" w:line="372" w:lineRule="auto"/>
        <w:jc w:val="both"/>
      </w:pPr>
      <w:r>
        <w:rPr>
          <w:rFonts w:ascii="Calibri" w:hAnsi="Calibri"/>
          <w:color w:val="212121"/>
          <w:sz w:val="20"/>
        </w:rPr>
        <w:t>Note what is not on the list: the full tracer gas test. Where operation has been demonstrated to be equivalent to the commissioning condition, periodic tracer gas is not mandatory. Where the process or the room has changed, the AI test is repeated instead. That distinction saves laboratories a great deal of money and is routinely ignored in both directions — some sites run tracer gas annually out of habit, others never re-run it after rebuilding the room.</w:t>
      </w:r>
    </w:p>
    <w:p w14:paraId="3C5171DD">
      <w:pPr>
        <w:pStyle w:val="00000c"/>
        <w:spacing w:before="280" w:after="100" w:line="300" w:lineRule="auto"/>
        <w:jc w:val="left"/>
      </w:pPr>
      <w:r>
        <w:rPr>
          <w:rFonts w:ascii="Arial" w:hAnsi="Arial"/>
          <w:b w:val="1"/>
          <w:color w:val="1565C0"/>
          <w:sz w:val="22"/>
        </w:rPr>
        <w:t>11.2 The 10 % rule</w:t>
      </w:r>
    </w:p>
    <w:p w14:paraId="2A2C9997">
      <w:pPr>
        <w:spacing w:before="0" w:after="120" w:line="372" w:lineRule="auto"/>
        <w:jc w:val="both"/>
      </w:pPr>
      <w:r>
        <w:rPr>
          <w:rFonts w:ascii="Calibri" w:hAnsi="Calibri"/>
          <w:color w:val="212121"/>
          <w:sz w:val="20"/>
        </w:rPr>
        <w:t>A hood whose average face velocity has fallen more than 10 % below its designated value is to be labelled out of service or restricted use, with corrective action before further work. Two things follow. The designated value must have been recorded at commissioning, which is why step 2 of the protocol exists. And a hood that reads 8 % low is not "fine" — it is a hood with a trend, and the trend is the early warning that the tracer gas test would confirm.</w:t>
      </w:r>
    </w:p>
    <w:p w14:paraId="5564942D">
      <w:pPr>
        <w:pStyle w:val="00000c"/>
        <w:spacing w:before="280" w:after="100" w:line="300" w:lineRule="auto"/>
        <w:jc w:val="left"/>
      </w:pPr>
      <w:r>
        <w:rPr>
          <w:rFonts w:ascii="Arial" w:hAnsi="Arial"/>
          <w:b w:val="1"/>
          <w:color w:val="1565C0"/>
          <w:sz w:val="22"/>
        </w:rPr>
        <w:t>11.3 Signage</w:t>
      </w:r>
    </w:p>
    <w:p w14:paraId="528A63DC">
      <w:pPr>
        <w:spacing w:before="0" w:after="120" w:line="372" w:lineRule="auto"/>
        <w:jc w:val="both"/>
      </w:pPr>
      <w:r>
        <w:rPr>
          <w:rFonts w:ascii="Calibri" w:hAnsi="Calibri"/>
          <w:color w:val="212121"/>
          <w:sz w:val="20"/>
        </w:rPr>
        <w:t>Each hood carries the date of its last test, its measured average face velocity, the sash position at which that value applies, and any restriction on work or materials. A hood that has failed carries a restricted-use notice stating the sash position required for safe operation. Signage is not administration; it is the mechanism by which the commissioning number reaches the person standing in front of the hood.</w:t>
      </w:r>
    </w:p>
    <w:p w14:paraId="635F8A7F">
      <w:pPr>
        <w:pStyle w:val="00000c"/>
        <w:spacing w:before="280" w:after="100" w:line="300" w:lineRule="auto"/>
        <w:jc w:val="left"/>
      </w:pPr>
      <w:r>
        <w:rPr>
          <w:rFonts w:ascii="Arial" w:hAnsi="Arial"/>
          <w:b w:val="1"/>
          <w:color w:val="1565C0"/>
          <w:sz w:val="22"/>
        </w:rPr>
        <w:t>11.4 Degradation to expect</w:t>
      </w:r>
    </w:p>
    <w:p w14:paraId="1F712C93">
      <w:pPr>
        <w:spacing w:before="0" w:after="120" w:line="372" w:lineRule="auto"/>
        <w:jc w:val="both"/>
      </w:pPr>
      <w:r>
        <w:rPr>
          <w:rFonts w:ascii="Calibri" w:hAnsi="Calibri"/>
          <w:color w:val="212121"/>
          <w:sz w:val="20"/>
        </w:rPr>
        <w:t>Fan airflow retention falls to roughly 92 % at three years and 76 % at eight years, with corresponding power loss. Filter clogging accounts for 40–50 % of insufficient-airflow faults in cleanroom and laboratory HVAC, belt slack and wear for 20–30 %, and duct leakage for 15–20 %. These are predictable, which means they can be scheduled rather than discovered.</w:t>
      </w:r>
    </w:p>
    <w:p w14:paraId="3DD0EA78">
      <w:pPr>
        <w:pStyle w:val="00000a"/>
        <w:pBdr>
          <w:bottom w:val="single" w:color="1565C0" w:sz="9" w:space="0"/>
        </w:pBdr>
        <w:spacing w:before="400" w:after="160" w:line="300" w:lineRule="auto"/>
        <w:jc w:val="left"/>
      </w:pPr>
      <w:bookmarkStart w:id="12" w:name="section-12"/>
      <w:bookmarkEnd w:id="12"/>
      <w:r>
        <w:rPr>
          <w:rFonts w:ascii="Arial" w:hAnsi="Arial"/>
          <w:b w:val="1"/>
          <w:color w:val="14243F"/>
          <w:sz w:val="30"/>
        </w:rPr>
        <w:t>12. Why compliant hoods still leak</w:t>
      </w:r>
    </w:p>
    <w:p w14:paraId="2FEC5538">
      <w:pPr>
        <w:spacing w:before="0" w:after="120" w:line="372" w:lineRule="auto"/>
        <w:jc w:val="both"/>
      </w:pPr>
      <w:r>
        <w:rPr>
          <w:rFonts w:ascii="Calibri" w:hAnsi="Calibri"/>
          <w:color w:val="212121"/>
          <w:sz w:val="20"/>
        </w:rPr>
        <w:t>The field data is consistent across countries and decades, and it is the best argument for testing containment rather than assuming it.</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FC17D8E">
            <w:pPr>
              <w:spacing w:before="42" w:after="42" w:line="240" w:lineRule="auto"/>
              <w:jc w:val="left"/>
            </w:pPr>
            <w:r>
              <w:rPr>
                <w:rFonts w:ascii="Arial" w:hAnsi="Arial" w:eastAsia="Arial"/>
                <w:b w:val="1"/>
                <w:color w:val="14243F"/>
                <w:sz w:val="17"/>
              </w:rPr>
              <w:t>Finding</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B429530">
            <w:pPr>
              <w:spacing w:before="42" w:after="42" w:line="240" w:lineRule="auto"/>
              <w:jc w:val="left"/>
            </w:pPr>
            <w:r>
              <w:rPr>
                <w:rFonts w:ascii="Arial" w:hAnsi="Arial" w:eastAsia="Arial"/>
                <w:b w:val="1"/>
                <w:color w:val="14243F"/>
                <w:sz w:val="17"/>
              </w:rPr>
              <w:t>Value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48BC724">
            <w:pPr>
              <w:spacing w:before="42" w:after="42" w:line="240" w:lineRule="auto"/>
              <w:jc w:val="left"/>
            </w:pPr>
            <w:r>
              <w:rPr>
                <w:rFonts w:ascii="Arial" w:hAnsi="Arial" w:eastAsia="Arial"/>
                <w:b w:val="1"/>
                <w:color w:val="14243F"/>
                <w:sz w:val="17"/>
              </w:rPr>
              <w:t>Source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1332BED">
            <w:pPr>
              <w:spacing w:before="33" w:after="33" w:line="240" w:lineRule="auto"/>
              <w:jc w:val="left"/>
            </w:pPr>
            <w:r>
              <w:rPr>
                <w:rFonts w:ascii="Calibri" w:hAnsi="Calibri" w:eastAsia="Calibri"/>
                <w:color w:val="212121"/>
                <w:sz w:val="17"/>
              </w:rPr>
              <w:t>Hoods with compliant face velocity that exceeded the Z9.5 leakage guideline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123E061">
            <w:pPr>
              <w:spacing w:before="33" w:after="33" w:line="240" w:lineRule="auto"/>
              <w:jc w:val="left"/>
            </w:pPr>
            <w:r>
              <w:rPr>
                <w:rFonts w:ascii="Calibri" w:hAnsi="Calibri" w:eastAsia="Calibri"/>
                <w:color w:val="212121"/>
                <w:sz w:val="17"/>
              </w:rPr>
              <w:t>30–50 %</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397A6A4">
            <w:pPr>
              <w:spacing w:before="33" w:after="33" w:line="240" w:lineRule="auto"/>
              <w:jc w:val="left"/>
            </w:pPr>
            <w:r>
              <w:rPr>
                <w:rFonts w:ascii="Calibri" w:hAnsi="Calibri" w:eastAsia="Calibri"/>
                <w:color w:val="212121"/>
                <w:sz w:val="17"/>
              </w:rPr>
              <w:t>SafeLab, several thousand ASHRAE 110 tests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8EA34C0">
            <w:pPr>
              <w:spacing w:before="33" w:after="33" w:line="240" w:lineRule="auto"/>
              <w:jc w:val="left"/>
            </w:pPr>
            <w:r>
              <w:rPr>
                <w:rFonts w:ascii="Calibri" w:hAnsi="Calibri" w:eastAsia="Calibri"/>
                <w:color w:val="212121"/>
                <w:sz w:val="17"/>
              </w:rPr>
              <w:t>Hoods failing tracer gas that had compliant face velocity</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92D7B34">
            <w:pPr>
              <w:spacing w:before="33" w:after="33" w:line="240" w:lineRule="auto"/>
              <w:jc w:val="left"/>
            </w:pPr>
            <w:r>
              <w:rPr>
                <w:rFonts w:ascii="Calibri" w:hAnsi="Calibri" w:eastAsia="Calibri"/>
                <w:color w:val="212121"/>
                <w:sz w:val="17"/>
              </w:rPr>
              <w:t>&gt; 80 %</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EAE137E">
            <w:pPr>
              <w:spacing w:before="33" w:after="33" w:line="240" w:lineRule="auto"/>
              <w:jc w:val="left"/>
            </w:pPr>
            <w:r>
              <w:rPr>
                <w:rFonts w:ascii="Calibri" w:hAnsi="Calibri" w:eastAsia="Calibri"/>
                <w:color w:val="212121"/>
                <w:sz w:val="17"/>
              </w:rPr>
              <w:t>NEBB retrospective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7B6A98A">
            <w:pPr>
              <w:spacing w:before="33" w:after="33" w:line="240" w:lineRule="auto"/>
              <w:jc w:val="left"/>
            </w:pPr>
            <w:r>
              <w:rPr>
                <w:rFonts w:ascii="Calibri" w:hAnsi="Calibri" w:eastAsia="Calibri"/>
                <w:color w:val="212121"/>
                <w:sz w:val="17"/>
              </w:rPr>
              <w:t>Attribution of tracer-gas failure: room conditions / hood design and layout / user practice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308A092">
            <w:pPr>
              <w:spacing w:before="33" w:after="33" w:line="240" w:lineRule="auto"/>
              <w:jc w:val="left"/>
            </w:pPr>
            <w:r>
              <w:rPr>
                <w:rFonts w:ascii="Calibri" w:hAnsi="Calibri" w:eastAsia="Calibri"/>
                <w:color w:val="212121"/>
                <w:sz w:val="17"/>
              </w:rPr>
              <w:t>50 / 25 / 25 %</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E42BA67">
            <w:pPr>
              <w:spacing w:before="33" w:after="33" w:line="240" w:lineRule="auto"/>
              <w:jc w:val="left"/>
            </w:pPr>
            <w:r>
              <w:rPr>
                <w:rFonts w:ascii="Calibri" w:hAnsi="Calibri" w:eastAsia="Calibri"/>
                <w:color w:val="212121"/>
                <w:sz w:val="17"/>
              </w:rPr>
              <w:t>NEBB</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BF4ECB8">
            <w:pPr>
              <w:spacing w:before="33" w:after="33" w:line="240" w:lineRule="auto"/>
              <w:jc w:val="left"/>
            </w:pPr>
            <w:r>
              <w:rPr>
                <w:rFonts w:ascii="Calibri" w:hAnsi="Calibri" w:eastAsia="Calibri"/>
                <w:color w:val="212121"/>
                <w:sz w:val="17"/>
              </w:rPr>
              <w:t>Finnish survey: compliant face velocity / all criteria met</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0F43F93">
            <w:pPr>
              <w:spacing w:before="33" w:after="33" w:line="240" w:lineRule="auto"/>
              <w:jc w:val="left"/>
            </w:pPr>
            <w:r>
              <w:rPr>
                <w:rFonts w:ascii="Calibri" w:hAnsi="Calibri" w:eastAsia="Calibri"/>
                <w:color w:val="212121"/>
                <w:sz w:val="17"/>
              </w:rPr>
              <w:t>27 % / 2.7 %</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0E30537">
            <w:pPr>
              <w:spacing w:before="33" w:after="33" w:line="240" w:lineRule="auto"/>
              <w:jc w:val="left"/>
            </w:pPr>
            <w:r>
              <w:rPr>
                <w:rFonts w:ascii="Calibri" w:hAnsi="Calibri" w:eastAsia="Calibri"/>
                <w:color w:val="212121"/>
                <w:sz w:val="17"/>
              </w:rPr>
              <w:t>Pasanen et al., 295 hoods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A3015C">
            <w:pPr>
              <w:spacing w:before="33" w:after="33" w:line="240" w:lineRule="auto"/>
              <w:jc w:val="left"/>
            </w:pPr>
            <w:r>
              <w:rPr>
                <w:rFonts w:ascii="Calibri" w:hAnsi="Calibri" w:eastAsia="Calibri"/>
                <w:color w:val="212121"/>
                <w:sz w:val="17"/>
              </w:rPr>
              <w:t>Iranian petrochemical: velocity compliant / tracer compliant, uncorrelated</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4DC5E43">
            <w:pPr>
              <w:spacing w:before="33" w:after="33" w:line="240" w:lineRule="auto"/>
              <w:jc w:val="left"/>
            </w:pPr>
            <w:r>
              <w:rPr>
                <w:rFonts w:ascii="Calibri" w:hAnsi="Calibri" w:eastAsia="Calibri"/>
                <w:color w:val="212121"/>
                <w:sz w:val="17"/>
              </w:rPr>
              <w:t>9.1 % / 4.5 %</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326768B">
            <w:pPr>
              <w:spacing w:before="33" w:after="33" w:line="240" w:lineRule="auto"/>
              <w:jc w:val="left"/>
            </w:pPr>
            <w:r>
              <w:rPr>
                <w:rFonts w:ascii="Calibri" w:hAnsi="Calibri" w:eastAsia="Calibri"/>
                <w:color w:val="212121"/>
                <w:sz w:val="17"/>
              </w:rPr>
              <w:t>ASHRAE 110 assessment, 22 hoods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8B5C0DF">
            <w:pPr>
              <w:spacing w:before="33" w:after="33" w:line="240" w:lineRule="auto"/>
              <w:jc w:val="left"/>
            </w:pPr>
            <w:r>
              <w:rPr>
                <w:rFonts w:ascii="Calibri" w:hAnsi="Calibri" w:eastAsia="Calibri"/>
                <w:color w:val="212121"/>
                <w:sz w:val="17"/>
              </w:rPr>
              <w:t>South African forensic laboratory: outside standard band</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18F9932">
            <w:pPr>
              <w:spacing w:before="33" w:after="33" w:line="240" w:lineRule="auto"/>
              <w:jc w:val="left"/>
            </w:pPr>
            <w:r>
              <w:rPr>
                <w:rFonts w:ascii="Calibri" w:hAnsi="Calibri" w:eastAsia="Calibri"/>
                <w:color w:val="212121"/>
                <w:sz w:val="17"/>
              </w:rPr>
              <w:t>82 % (70 % excessive)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F8AC7A5">
            <w:pPr>
              <w:spacing w:before="33" w:after="33" w:line="240" w:lineRule="auto"/>
              <w:jc w:val="left"/>
            </w:pPr>
            <w:r>
              <w:rPr>
                <w:rFonts w:ascii="Calibri" w:hAnsi="Calibri" w:eastAsia="Calibri"/>
                <w:color w:val="212121"/>
                <w:sz w:val="17"/>
              </w:rPr>
              <w:t>Jacobs, 49 hoods over 11 months</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14EAB06">
            <w:pPr>
              <w:spacing w:before="33" w:after="33" w:line="240" w:lineRule="auto"/>
              <w:jc w:val="left"/>
            </w:pPr>
            <w:r>
              <w:rPr>
                <w:rFonts w:ascii="Calibri" w:hAnsi="Calibri" w:eastAsia="Calibri"/>
                <w:color w:val="212121"/>
                <w:sz w:val="17"/>
              </w:rPr>
              <w:t>Chinese national inspection: overall fume hood non-compliance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F098312">
            <w:pPr>
              <w:spacing w:before="33" w:after="33" w:line="240" w:lineRule="auto"/>
              <w:jc w:val="left"/>
            </w:pPr>
            <w:r>
              <w:rPr>
                <w:rFonts w:ascii="Calibri" w:hAnsi="Calibri" w:eastAsia="Calibri"/>
                <w:color w:val="212121"/>
                <w:sz w:val="17"/>
              </w:rPr>
              <w:t>18.7 %</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AC2D84A">
            <w:pPr>
              <w:spacing w:before="33" w:after="33" w:line="240" w:lineRule="auto"/>
              <w:jc w:val="left"/>
            </w:pPr>
            <w:r>
              <w:rPr>
                <w:rFonts w:ascii="Calibri" w:hAnsi="Calibri" w:eastAsia="Calibri"/>
                <w:color w:val="212121"/>
                <w:sz w:val="17"/>
              </w:rPr>
              <w:t>2025 special inspection bulletin</w:t>
            </w:r>
          </w:p>
        </w:tc>
      </w:tr>
    </w:tbl>
    <w:p w14:paraId="383DC822">
      <w:pPr>
        <w:spacing w:before="0" w:after="120" w:line="372" w:lineRule="auto"/>
        <w:jc w:val="both"/>
      </w:pPr>
      <w:r>
        <w:rPr>
          <w:rFonts w:ascii="Calibri" w:hAnsi="Calibri"/>
          <w:color w:val="212121"/>
          <w:sz w:val="20"/>
        </w:rPr>
        <w:t xml:space="preserve">The South African figure is the one that most often surprises operators: 70 % of the non-compliant hoods were running </w:t>
      </w:r>
      <w:r>
        <w:rPr>
          <w:rFonts w:ascii="Calibri" w:hAnsi="Calibri"/>
          <w:b w:val="1"/>
          <w:color w:val="212121"/>
          <w:sz w:val="20"/>
        </w:rPr>
        <w:t>too fast</w:t>
      </w:r>
      <w:r>
        <w:rPr>
          <w:rFonts w:ascii="Calibri" w:hAnsi="Calibri"/>
          <w:color w:val="212121"/>
          <w:sz w:val="20"/>
        </w:rPr>
        <w:t>, not too slow. Excess face velocity creates turbulence at the sash edge and at the airfoil, and turbulence transports contaminant out of the hood. A hood "improved" by opening its damper to raise the velocity can be made less safe, which is why the acceptance band has an upper bound as well as a lower one.</w:t>
      </w:r>
    </w:p>
    <w:p w14:paraId="012C3B32">
      <w:pPr>
        <w:pStyle w:val="00000c"/>
        <w:spacing w:before="280" w:after="100" w:line="300" w:lineRule="auto"/>
        <w:jc w:val="left"/>
      </w:pPr>
      <w:r>
        <w:rPr>
          <w:rFonts w:ascii="Arial" w:hAnsi="Arial"/>
          <w:b w:val="1"/>
          <w:color w:val="1565C0"/>
          <w:sz w:val="22"/>
        </w:rPr>
        <w:t>12.1 Failure modes and the test that catches them</w:t>
      </w:r>
    </w:p>
    <w:tbl>
      <w:tblPr>
        <w:tblW w:w="5000" w:type="pct"/>
        <w:tblLayout w:type="autofit"/>
        <w:tblLook w:firstRow="1" w:lastRow="0" w:firstColumn="1" w:lastColumn="0" w:noHBand="0" w:noVBand="1" w:val="04A0"/>
      </w:tblPr>
      <w:tblGrid>
        <w:gridCol w:w="2880"/>
        <w:gridCol w:w="2880"/>
        <w:gridCol w:w="2880"/>
      </w:tblGrid>
      <w:tr>
        <w:trPr/>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314252C4">
            <w:pPr>
              <w:spacing w:before="42" w:after="42" w:line="240" w:lineRule="auto"/>
              <w:jc w:val="left"/>
            </w:pPr>
            <w:r>
              <w:rPr>
                <w:rFonts w:ascii="Arial" w:hAnsi="Arial" w:eastAsia="Arial"/>
                <w:b w:val="1"/>
                <w:color w:val="14243F"/>
                <w:sz w:val="17"/>
              </w:rPr>
              <w:t>Symptom</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19D45E9">
            <w:pPr>
              <w:spacing w:before="42" w:after="42" w:line="240" w:lineRule="auto"/>
              <w:jc w:val="left"/>
            </w:pPr>
            <w:r>
              <w:rPr>
                <w:rFonts w:ascii="Arial" w:hAnsi="Arial" w:eastAsia="Arial"/>
                <w:b w:val="1"/>
                <w:color w:val="14243F"/>
                <w:sz w:val="17"/>
              </w:rPr>
              <w:t>Underlying cause</w:t>
            </w:r>
          </w:p>
        </w:tc>
        <w:tc>
          <w:tcPr>
            <w:tcW w:w="288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96C273B">
            <w:pPr>
              <w:spacing w:before="42" w:after="42" w:line="240" w:lineRule="auto"/>
              <w:jc w:val="left"/>
            </w:pPr>
            <w:r>
              <w:rPr>
                <w:rFonts w:ascii="Arial" w:hAnsi="Arial" w:eastAsia="Arial"/>
                <w:b w:val="1"/>
                <w:color w:val="14243F"/>
                <w:sz w:val="17"/>
              </w:rPr>
              <w:t>Test that catches it</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7F38D7A">
            <w:pPr>
              <w:spacing w:before="33" w:after="33" w:line="240" w:lineRule="auto"/>
              <w:jc w:val="left"/>
            </w:pPr>
            <w:r>
              <w:rPr>
                <w:rFonts w:ascii="Calibri" w:hAnsi="Calibri" w:eastAsia="Calibri"/>
                <w:color w:val="212121"/>
                <w:sz w:val="17"/>
              </w:rPr>
              <w:t>Odour at the operator's face, face velocity normal</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9994DAF">
            <w:pPr>
              <w:spacing w:before="33" w:after="33" w:line="240" w:lineRule="auto"/>
              <w:jc w:val="left"/>
            </w:pPr>
            <w:r>
              <w:rPr>
                <w:rFonts w:ascii="Calibri" w:hAnsi="Calibri" w:eastAsia="Calibri"/>
                <w:color w:val="212121"/>
                <w:sz w:val="17"/>
              </w:rPr>
              <w:t>Room cross-draft, supply jet at the opening, door gap</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109C6A8">
            <w:pPr>
              <w:spacing w:before="33" w:after="33" w:line="240" w:lineRule="auto"/>
              <w:jc w:val="left"/>
            </w:pPr>
            <w:r>
              <w:rPr>
                <w:rFonts w:ascii="Calibri" w:hAnsi="Calibri" w:eastAsia="Calibri"/>
                <w:color w:val="212121"/>
                <w:sz w:val="17"/>
              </w:rPr>
              <w:t>Cross-draft measurement, low-flow visualisation</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EB098E7">
            <w:pPr>
              <w:spacing w:before="33" w:after="33" w:line="240" w:lineRule="auto"/>
              <w:jc w:val="left"/>
            </w:pPr>
            <w:r>
              <w:rPr>
                <w:rFonts w:ascii="Calibri" w:hAnsi="Calibri" w:eastAsia="Calibri"/>
                <w:color w:val="212121"/>
                <w:sz w:val="17"/>
              </w:rPr>
              <w:t>Smoke rolls forward over the sill</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0151990">
            <w:pPr>
              <w:spacing w:before="33" w:after="33" w:line="240" w:lineRule="auto"/>
              <w:jc w:val="left"/>
            </w:pPr>
            <w:r>
              <w:rPr>
                <w:rFonts w:ascii="Calibri" w:hAnsi="Calibri" w:eastAsia="Calibri"/>
                <w:color w:val="212121"/>
                <w:sz w:val="17"/>
              </w:rPr>
              <w:t>Lower slot blocked by apparatus, baffle misadjusted</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3AE8F2A">
            <w:pPr>
              <w:spacing w:before="33" w:after="33" w:line="240" w:lineRule="auto"/>
              <w:jc w:val="left"/>
            </w:pPr>
            <w:r>
              <w:rPr>
                <w:rFonts w:ascii="Calibri" w:hAnsi="Calibri" w:eastAsia="Calibri"/>
                <w:color w:val="212121"/>
                <w:sz w:val="17"/>
              </w:rPr>
              <w:t>High-flow visualisation</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AD4D6C7">
            <w:pPr>
              <w:spacing w:before="33" w:after="33" w:line="240" w:lineRule="auto"/>
              <w:jc w:val="left"/>
            </w:pPr>
            <w:r>
              <w:rPr>
                <w:rFonts w:ascii="Calibri" w:hAnsi="Calibri" w:eastAsia="Calibri"/>
                <w:color w:val="212121"/>
                <w:sz w:val="17"/>
              </w:rPr>
              <w:t>Left–right asymmetry</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DB5138B">
            <w:pPr>
              <w:spacing w:before="33" w:after="33" w:line="240" w:lineRule="auto"/>
              <w:jc w:val="left"/>
            </w:pPr>
            <w:r>
              <w:rPr>
                <w:rFonts w:ascii="Calibri" w:hAnsi="Calibri" w:eastAsia="Calibri"/>
                <w:color w:val="212121"/>
                <w:sz w:val="17"/>
              </w:rPr>
              <w:t>Sash seal, sidewall bypass, uneven baffle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142114C">
            <w:pPr>
              <w:spacing w:before="33" w:after="33" w:line="240" w:lineRule="auto"/>
              <w:jc w:val="left"/>
            </w:pPr>
            <w:r>
              <w:rPr>
                <w:rFonts w:ascii="Calibri" w:hAnsi="Calibri" w:eastAsia="Calibri"/>
                <w:color w:val="212121"/>
                <w:sz w:val="17"/>
              </w:rPr>
              <w:t>Three-position tracer gas, perimeter scan</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8A5DFBF">
            <w:pPr>
              <w:spacing w:before="33" w:after="33" w:line="240" w:lineRule="auto"/>
              <w:jc w:val="left"/>
            </w:pPr>
            <w:r>
              <w:rPr>
                <w:rFonts w:ascii="Calibri" w:hAnsi="Calibri" w:eastAsia="Calibri"/>
                <w:color w:val="212121"/>
                <w:sz w:val="17"/>
              </w:rPr>
              <w:t>Spike whenever the sash moves</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4F1B4D5">
            <w:pPr>
              <w:spacing w:before="33" w:after="33" w:line="240" w:lineRule="auto"/>
              <w:jc w:val="left"/>
            </w:pPr>
            <w:r>
              <w:rPr>
                <w:rFonts w:ascii="Calibri" w:hAnsi="Calibri" w:eastAsia="Calibri"/>
                <w:color w:val="212121"/>
                <w:sz w:val="17"/>
              </w:rPr>
              <w:t>VAV response lag, actuator torque, PID tuning</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2D0D2A3">
            <w:pPr>
              <w:spacing w:before="33" w:after="33" w:line="240" w:lineRule="auto"/>
              <w:jc w:val="left"/>
            </w:pPr>
            <w:r>
              <w:rPr>
                <w:rFonts w:ascii="Calibri" w:hAnsi="Calibri" w:eastAsia="Calibri"/>
                <w:color w:val="212121"/>
                <w:sz w:val="17"/>
              </w:rPr>
              <w:t>Sash movement test, RA-Max</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9F3626">
            <w:pPr>
              <w:spacing w:before="33" w:after="33" w:line="240" w:lineRule="auto"/>
              <w:jc w:val="left"/>
            </w:pPr>
            <w:r>
              <w:rPr>
                <w:rFonts w:ascii="Calibri" w:hAnsi="Calibri" w:eastAsia="Calibri"/>
                <w:color w:val="212121"/>
                <w:sz w:val="17"/>
              </w:rPr>
              <w:t>Gradual loss of containment over years</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9E2EDE2">
            <w:pPr>
              <w:spacing w:before="33" w:after="33" w:line="240" w:lineRule="auto"/>
              <w:jc w:val="left"/>
            </w:pPr>
            <w:r>
              <w:rPr>
                <w:rFonts w:ascii="Calibri" w:hAnsi="Calibri" w:eastAsia="Calibri"/>
                <w:color w:val="212121"/>
                <w:sz w:val="17"/>
              </w:rPr>
              <w:t>Filter loading, fan belt wear, duct leakage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0A570F3">
            <w:pPr>
              <w:spacing w:before="33" w:after="33" w:line="240" w:lineRule="auto"/>
              <w:jc w:val="left"/>
            </w:pPr>
            <w:r>
              <w:rPr>
                <w:rFonts w:ascii="Calibri" w:hAnsi="Calibri" w:eastAsia="Calibri"/>
                <w:color w:val="212121"/>
                <w:sz w:val="17"/>
              </w:rPr>
              <w:t>Trend of face velocity against designated value</w:t>
            </w:r>
          </w:p>
        </w:tc>
      </w:tr>
      <w:tr>
        <w:trPr/>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D39F81A">
            <w:pPr>
              <w:spacing w:before="33" w:after="33" w:line="240" w:lineRule="auto"/>
              <w:jc w:val="left"/>
            </w:pPr>
            <w:r>
              <w:rPr>
                <w:rFonts w:ascii="Calibri" w:hAnsi="Calibri" w:eastAsia="Calibri"/>
                <w:color w:val="212121"/>
                <w:sz w:val="17"/>
              </w:rPr>
              <w:t>Intermittent alarm, normal readings otherwise</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23EF829">
            <w:pPr>
              <w:spacing w:before="33" w:after="33" w:line="240" w:lineRule="auto"/>
              <w:jc w:val="left"/>
            </w:pPr>
            <w:r>
              <w:rPr>
                <w:rFonts w:ascii="Calibri" w:hAnsi="Calibri" w:eastAsia="Calibri"/>
                <w:color w:val="212121"/>
                <w:sz w:val="17"/>
              </w:rPr>
              <w:t>Sensor drift, probe in an eddy</w:t>
            </w:r>
          </w:p>
        </w:tc>
        <w:tc>
          <w:tcPr>
            <w:tcW w:w="288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951C30D">
            <w:pPr>
              <w:spacing w:before="33" w:after="33" w:line="240" w:lineRule="auto"/>
              <w:jc w:val="left"/>
            </w:pPr>
            <w:r>
              <w:rPr>
                <w:rFonts w:ascii="Calibri" w:hAnsi="Calibri" w:eastAsia="Calibri"/>
                <w:color w:val="212121"/>
                <w:sz w:val="17"/>
              </w:rPr>
              <w:t>Sensor calibration, cross-check against reference</w:t>
            </w:r>
          </w:p>
        </w:tc>
      </w:tr>
    </w:tbl>
    <w:p w14:paraId="41BFA03A">
      <w:pPr>
        <w:pStyle w:val="00000c"/>
        <w:spacing w:before="280" w:after="100" w:line="300" w:lineRule="auto"/>
        <w:jc w:val="left"/>
      </w:pPr>
      <w:r>
        <w:rPr>
          <w:rFonts w:ascii="Arial" w:hAnsi="Arial"/>
          <w:b w:val="1"/>
          <w:color w:val="1565C0"/>
          <w:sz w:val="22"/>
        </w:rPr>
        <w:t>12.2 Detection lag</w:t>
      </w:r>
    </w:p>
    <w:p w14:paraId="7B0B09E9">
      <w:pPr>
        <w:spacing w:before="0" w:after="120" w:line="372" w:lineRule="auto"/>
        <w:jc w:val="both"/>
      </w:pPr>
      <w:r>
        <w:rPr>
          <w:rFonts w:ascii="Calibri" w:hAnsi="Calibri"/>
          <w:color w:val="212121"/>
          <w:sz w:val="20"/>
        </w:rPr>
        <w:t>Faults in laboratory ventilation are typically detected an average of 72 hours after they begin, because most systems have no online fan-status monitoring and no trend logging. A hood with a face velocity sensor and a BMS point turns a three-day exposure into a same-day alarm. This is the strongest practical argument for the control layer in Section 9 that has nothing to do with energy.</w:t>
      </w:r>
    </w:p>
    <w:p w14:paraId="6ED02E7A">
      <w:pPr>
        <w:pStyle w:val="00000a"/>
        <w:pBdr>
          <w:bottom w:val="single" w:color="1565C0" w:sz="9" w:space="0"/>
        </w:pBdr>
        <w:spacing w:before="400" w:after="160" w:line="300" w:lineRule="auto"/>
        <w:jc w:val="left"/>
      </w:pPr>
      <w:bookmarkStart w:id="13" w:name="section-13"/>
      <w:bookmarkEnd w:id="13"/>
      <w:r>
        <w:rPr>
          <w:rFonts w:ascii="Arial" w:hAnsi="Arial"/>
          <w:b w:val="1"/>
          <w:color w:val="14243F"/>
          <w:sz w:val="30"/>
        </w:rPr>
        <w:t>13. What a defensible test report contains</w:t>
      </w:r>
    </w:p>
    <w:p w14:paraId="561B6617">
      <w:pPr>
        <w:spacing w:before="0" w:after="120" w:line="372" w:lineRule="auto"/>
        <w:jc w:val="both"/>
      </w:pPr>
      <w:r>
        <w:rPr>
          <w:rFonts w:ascii="Calibri" w:hAnsi="Calibri"/>
          <w:color w:val="212121"/>
          <w:sz w:val="20"/>
        </w:rPr>
        <w:t>A report that will survive a review by a second test body contains the following. Anything missing is a gap a reviewer will find.</w:t>
      </w:r>
    </w:p>
    <w:tbl>
      <w:tblPr>
        <w:tblW w:w="5000" w:type="pct"/>
        <w:tblLayout w:type="autofit"/>
        <w:tblLook w:firstRow="1" w:lastRow="0" w:firstColumn="1" w:lastColumn="0" w:noHBand="0" w:noVBand="1" w:val="04A0"/>
      </w:tblPr>
      <w:tblGrid>
        <w:gridCol w:w="4320"/>
        <w:gridCol w:w="4320"/>
      </w:tblGrid>
      <w:tr>
        <w:trPr/>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46092E82">
            <w:pPr>
              <w:spacing w:before="42" w:after="42" w:line="240" w:lineRule="auto"/>
              <w:jc w:val="left"/>
            </w:pPr>
            <w:r>
              <w:rPr>
                <w:rFonts w:ascii="Arial" w:hAnsi="Arial" w:eastAsia="Arial"/>
                <w:b w:val="1"/>
                <w:color w:val="14243F"/>
                <w:sz w:val="17"/>
              </w:rPr>
              <w:t>Element</w:t>
            </w:r>
          </w:p>
        </w:tc>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AE6CDEB">
            <w:pPr>
              <w:spacing w:before="42" w:after="42" w:line="240" w:lineRule="auto"/>
              <w:jc w:val="left"/>
            </w:pPr>
            <w:r>
              <w:rPr>
                <w:rFonts w:ascii="Arial" w:hAnsi="Arial" w:eastAsia="Arial"/>
                <w:b w:val="1"/>
                <w:color w:val="14243F"/>
                <w:sz w:val="17"/>
              </w:rPr>
              <w:t>Why it matters</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DDC8A4E">
            <w:pPr>
              <w:spacing w:before="33" w:after="33" w:line="240" w:lineRule="auto"/>
              <w:jc w:val="left"/>
            </w:pPr>
            <w:r>
              <w:rPr>
                <w:rFonts w:ascii="Calibri" w:hAnsi="Calibri" w:eastAsia="Calibri"/>
                <w:color w:val="212121"/>
                <w:sz w:val="17"/>
              </w:rPr>
              <w:t>Standard and edition</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8695501">
            <w:pPr>
              <w:spacing w:before="33" w:after="33" w:line="240" w:lineRule="auto"/>
              <w:jc w:val="left"/>
            </w:pPr>
            <w:r>
              <w:rPr>
                <w:rFonts w:ascii="Calibri" w:hAnsi="Calibri" w:eastAsia="Calibri"/>
                <w:color w:val="212121"/>
                <w:sz w:val="17"/>
              </w:rPr>
              <w:t>1995 and 2016 results are not interchangeable</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A6FF7DC">
            <w:pPr>
              <w:spacing w:before="33" w:after="33" w:line="240" w:lineRule="auto"/>
              <w:jc w:val="left"/>
            </w:pPr>
            <w:r>
              <w:rPr>
                <w:rFonts w:ascii="Calibri" w:hAnsi="Calibri" w:eastAsia="Calibri"/>
                <w:color w:val="212121"/>
                <w:sz w:val="17"/>
              </w:rPr>
              <w:t>Test state (AM / AI / AU)</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10B21A9">
            <w:pPr>
              <w:spacing w:before="33" w:after="33" w:line="240" w:lineRule="auto"/>
              <w:jc w:val="left"/>
            </w:pPr>
            <w:r>
              <w:rPr>
                <w:rFonts w:ascii="Calibri" w:hAnsi="Calibri" w:eastAsia="Calibri"/>
                <w:color w:val="212121"/>
                <w:sz w:val="17"/>
              </w:rPr>
              <w:t>Determines which control level applies</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9E5A28">
            <w:pPr>
              <w:spacing w:before="33" w:after="33" w:line="240" w:lineRule="auto"/>
              <w:jc w:val="left"/>
            </w:pPr>
            <w:r>
              <w:rPr>
                <w:rFonts w:ascii="Calibri" w:hAnsi="Calibri" w:eastAsia="Calibri"/>
                <w:color w:val="212121"/>
                <w:sz w:val="17"/>
              </w:rPr>
              <w:t>Control level and its source</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450FEE0">
            <w:pPr>
              <w:spacing w:before="33" w:after="33" w:line="240" w:lineRule="auto"/>
              <w:jc w:val="left"/>
            </w:pPr>
            <w:r>
              <w:rPr>
                <w:rFonts w:ascii="Calibri" w:hAnsi="Calibri" w:eastAsia="Calibri"/>
                <w:color w:val="212121"/>
                <w:sz w:val="17"/>
              </w:rPr>
              <w:t>Otherwise the result has no pass/fail meaning</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51B5279">
            <w:pPr>
              <w:spacing w:before="33" w:after="33" w:line="240" w:lineRule="auto"/>
              <w:jc w:val="left"/>
            </w:pPr>
            <w:r>
              <w:rPr>
                <w:rFonts w:ascii="Calibri" w:hAnsi="Calibri" w:eastAsia="Calibri"/>
                <w:color w:val="212121"/>
                <w:sz w:val="17"/>
              </w:rPr>
              <w:t>Room conditions at test: temperature, pressure differential, supply and exhaust airflow</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BBF604E">
            <w:pPr>
              <w:spacing w:before="33" w:after="33" w:line="240" w:lineRule="auto"/>
              <w:jc w:val="left"/>
            </w:pPr>
            <w:r>
              <w:rPr>
                <w:rFonts w:ascii="Calibri" w:hAnsi="Calibri" w:eastAsia="Calibri"/>
                <w:color w:val="212121"/>
                <w:sz w:val="17"/>
              </w:rPr>
              <w:t>The 50 % room attribution is invisible without this</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7EB3502">
            <w:pPr>
              <w:spacing w:before="33" w:after="33" w:line="240" w:lineRule="auto"/>
              <w:jc w:val="left"/>
            </w:pPr>
            <w:r>
              <w:rPr>
                <w:rFonts w:ascii="Calibri" w:hAnsi="Calibri" w:eastAsia="Calibri"/>
                <w:color w:val="212121"/>
                <w:sz w:val="17"/>
              </w:rPr>
              <w:t>Cross-draft values and measurement positions</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A501217">
            <w:pPr>
              <w:spacing w:before="33" w:after="33" w:line="240" w:lineRule="auto"/>
              <w:jc w:val="left"/>
            </w:pPr>
            <w:r>
              <w:rPr>
                <w:rFonts w:ascii="Calibri" w:hAnsi="Calibri" w:eastAsia="Calibri"/>
                <w:color w:val="212121"/>
                <w:sz w:val="17"/>
              </w:rPr>
              <w:t>Same</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645A13E">
            <w:pPr>
              <w:spacing w:before="33" w:after="33" w:line="240" w:lineRule="auto"/>
              <w:jc w:val="left"/>
            </w:pPr>
            <w:r>
              <w:rPr>
                <w:rFonts w:ascii="Calibri" w:hAnsi="Calibri" w:eastAsia="Calibri"/>
                <w:color w:val="212121"/>
                <w:sz w:val="17"/>
              </w:rPr>
              <w:t>Sash position for every velocity measurement</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ED07EA0">
            <w:pPr>
              <w:spacing w:before="33" w:after="33" w:line="240" w:lineRule="auto"/>
              <w:jc w:val="left"/>
            </w:pPr>
            <w:r>
              <w:rPr>
                <w:rFonts w:ascii="Calibri" w:hAnsi="Calibri" w:eastAsia="Calibri"/>
                <w:color w:val="212121"/>
                <w:sz w:val="17"/>
              </w:rPr>
              <w:t>A velocity without a position is not reproducible</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8625C63">
            <w:pPr>
              <w:spacing w:before="33" w:after="33" w:line="240" w:lineRule="auto"/>
              <w:jc w:val="left"/>
            </w:pPr>
            <w:r>
              <w:rPr>
                <w:rFonts w:ascii="Calibri" w:hAnsi="Calibri" w:eastAsia="Calibri"/>
                <w:color w:val="212121"/>
                <w:sz w:val="17"/>
              </w:rPr>
              <w:t>Complete velocity grid, not only the mean</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BD55DDF">
            <w:pPr>
              <w:spacing w:before="33" w:after="33" w:line="240" w:lineRule="auto"/>
              <w:jc w:val="left"/>
            </w:pPr>
            <w:r>
              <w:rPr>
                <w:rFonts w:ascii="Calibri" w:hAnsi="Calibri" w:eastAsia="Calibri"/>
                <w:color w:val="212121"/>
                <w:sz w:val="17"/>
              </w:rPr>
              <w:t>Hides the low-velocity point that matters</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B3AC899">
            <w:pPr>
              <w:spacing w:before="33" w:after="33" w:line="240" w:lineRule="auto"/>
              <w:jc w:val="left"/>
            </w:pPr>
            <w:r>
              <w:rPr>
                <w:rFonts w:ascii="Calibri" w:hAnsi="Calibri" w:eastAsia="Calibri"/>
                <w:color w:val="212121"/>
                <w:sz w:val="17"/>
              </w:rPr>
              <w:t>Visualisation narrative and pattern sketch</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23E9028">
            <w:pPr>
              <w:spacing w:before="33" w:after="33" w:line="240" w:lineRule="auto"/>
              <w:jc w:val="left"/>
            </w:pPr>
            <w:r>
              <w:rPr>
                <w:rFonts w:ascii="Calibri" w:hAnsi="Calibri" w:eastAsia="Calibri"/>
                <w:color w:val="212121"/>
                <w:sz w:val="17"/>
              </w:rPr>
              <w:t>Comparable over time; a tick box is not</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3A6795F">
            <w:pPr>
              <w:spacing w:before="33" w:after="33" w:line="240" w:lineRule="auto"/>
              <w:jc w:val="left"/>
            </w:pPr>
            <w:r>
              <w:rPr>
                <w:rFonts w:ascii="Calibri" w:hAnsi="Calibri" w:eastAsia="Calibri"/>
                <w:color w:val="212121"/>
                <w:sz w:val="17"/>
              </w:rPr>
              <w:t>Tracer gas: tracer identity, release rate, ejector position, manikin position, analyser model and detection limit</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4D0332A">
            <w:pPr>
              <w:spacing w:before="33" w:after="33" w:line="240" w:lineRule="auto"/>
              <w:jc w:val="left"/>
            </w:pPr>
            <w:r>
              <w:rPr>
                <w:rFonts w:ascii="Calibri" w:hAnsi="Calibri" w:eastAsia="Calibri"/>
                <w:color w:val="212121"/>
                <w:sz w:val="17"/>
              </w:rPr>
              <w:t>Determines whether 0.00 means anything</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56E1F67">
            <w:pPr>
              <w:spacing w:before="33" w:after="33" w:line="240" w:lineRule="auto"/>
              <w:jc w:val="left"/>
            </w:pPr>
            <w:r>
              <w:rPr>
                <w:rFonts w:ascii="Calibri" w:hAnsi="Calibri" w:eastAsia="Calibri"/>
                <w:color w:val="212121"/>
                <w:sz w:val="17"/>
              </w:rPr>
              <w:t>Per-position average, minimum and maximum</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8C28DB5">
            <w:pPr>
              <w:spacing w:before="33" w:after="33" w:line="240" w:lineRule="auto"/>
              <w:jc w:val="left"/>
            </w:pPr>
            <w:r>
              <w:rPr>
                <w:rFonts w:ascii="Calibri" w:hAnsi="Calibri" w:eastAsia="Calibri"/>
                <w:color w:val="212121"/>
                <w:sz w:val="17"/>
              </w:rPr>
              <w:t>The peak reveals intermittent escape</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1996221">
            <w:pPr>
              <w:spacing w:before="33" w:after="33" w:line="240" w:lineRule="auto"/>
              <w:jc w:val="left"/>
            </w:pPr>
            <w:r>
              <w:rPr>
                <w:rFonts w:ascii="Calibri" w:hAnsi="Calibri" w:eastAsia="Calibri"/>
                <w:color w:val="212121"/>
                <w:sz w:val="17"/>
              </w:rPr>
              <w:t>Sash movement: cycle count, speed, RA-Max, peak</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A553EAA">
            <w:pPr>
              <w:spacing w:before="33" w:after="33" w:line="240" w:lineRule="auto"/>
              <w:jc w:val="left"/>
            </w:pPr>
            <w:r>
              <w:rPr>
                <w:rFonts w:ascii="Calibri" w:hAnsi="Calibri" w:eastAsia="Calibri"/>
                <w:color w:val="212121"/>
                <w:sz w:val="17"/>
              </w:rPr>
              <w:t>Tests the control system, not the box</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CE63DE4">
            <w:pPr>
              <w:spacing w:before="33" w:after="33" w:line="240" w:lineRule="auto"/>
              <w:jc w:val="left"/>
            </w:pPr>
            <w:r>
              <w:rPr>
                <w:rFonts w:ascii="Calibri" w:hAnsi="Calibri" w:eastAsia="Calibri"/>
                <w:color w:val="212121"/>
                <w:sz w:val="17"/>
              </w:rPr>
              <w:t>Instrument calibration certificates and dates</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68A9C61">
            <w:pPr>
              <w:spacing w:before="33" w:after="33" w:line="240" w:lineRule="auto"/>
              <w:jc w:val="left"/>
            </w:pPr>
            <w:r>
              <w:rPr>
                <w:rFonts w:ascii="Calibri" w:hAnsi="Calibri" w:eastAsia="Calibri"/>
                <w:color w:val="212121"/>
                <w:sz w:val="17"/>
              </w:rPr>
              <w:t>Without them the numbers are opinions</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017C9F9">
            <w:pPr>
              <w:spacing w:before="33" w:after="33" w:line="240" w:lineRule="auto"/>
              <w:jc w:val="left"/>
            </w:pPr>
            <w:r>
              <w:rPr>
                <w:rFonts w:ascii="Calibri" w:hAnsi="Calibri" w:eastAsia="Calibri"/>
                <w:color w:val="212121"/>
                <w:sz w:val="17"/>
              </w:rPr>
              <w:t>Test body accreditation</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5BA9014">
            <w:pPr>
              <w:spacing w:before="33" w:after="33" w:line="240" w:lineRule="auto"/>
              <w:jc w:val="left"/>
            </w:pPr>
            <w:r>
              <w:rPr>
                <w:rFonts w:ascii="Calibri" w:hAnsi="Calibri" w:eastAsia="Calibri"/>
                <w:color w:val="212121"/>
                <w:sz w:val="17"/>
              </w:rPr>
              <w:t>Determines evidential weight</w:t>
            </w:r>
          </w:p>
        </w:tc>
      </w:tr>
    </w:tbl>
    <w:p w14:paraId="0A51F1F5">
      <w:pPr>
        <w:pStyle w:val="00000a"/>
        <w:pBdr>
          <w:bottom w:val="single" w:color="1565C0" w:sz="9" w:space="0"/>
        </w:pBdr>
        <w:spacing w:before="400" w:after="160" w:line="300" w:lineRule="auto"/>
        <w:jc w:val="left"/>
      </w:pPr>
      <w:bookmarkStart w:id="14" w:name="section-14"/>
      <w:bookmarkEnd w:id="14"/>
      <w:r>
        <w:rPr>
          <w:rFonts w:ascii="Arial" w:hAnsi="Arial"/>
          <w:b w:val="1"/>
          <w:color w:val="14243F"/>
          <w:sz w:val="30"/>
        </w:rPr>
        <w:t>14. Limitations and honest notes</w:t>
      </w:r>
    </w:p>
    <w:p w14:paraId="0343A595">
      <w:pPr>
        <w:spacing w:before="0" w:after="120" w:line="372" w:lineRule="auto"/>
        <w:jc w:val="both"/>
      </w:pPr>
      <w:r>
        <w:rPr>
          <w:rFonts w:ascii="Calibri" w:hAnsi="Calibri"/>
          <w:color w:val="212121"/>
          <w:sz w:val="20"/>
        </w:rPr>
        <w:t>Three limitations belong in the document rather than in a footnote.</w:t>
      </w:r>
    </w:p>
    <w:p w14:paraId="07E22584">
      <w:pPr>
        <w:spacing w:before="0" w:after="120" w:line="372" w:lineRule="auto"/>
        <w:jc w:val="both"/>
      </w:pPr>
      <w:r>
        <w:rPr>
          <w:rFonts w:ascii="Calibri" w:hAnsi="Calibri"/>
          <w:b w:val="1"/>
          <w:color w:val="212121"/>
          <w:sz w:val="20"/>
        </w:rPr>
        <w:t>ASHRAE 110 does not set a safe exposure level.</w:t>
      </w:r>
      <w:r>
        <w:rPr>
          <w:rFonts w:ascii="Calibri" w:hAnsi="Calibri"/>
          <w:color w:val="212121"/>
          <w:sz w:val="20"/>
        </w:rPr>
        <w:t xml:space="preserve"> A hood achieving 0.05 ppm AM is a hood that contains well under controlled conditions. Whether 0.05 ppm of a specific substance for a specific duration is acceptable is an industrial hygiene question that the test cannot answer, and SEFA states this explicitly in its AM clause.</w:t>
      </w:r>
    </w:p>
    <w:p w14:paraId="7FFB5DF8">
      <w:pPr>
        <w:spacing w:before="0" w:after="120" w:line="372" w:lineRule="auto"/>
        <w:jc w:val="both"/>
      </w:pPr>
      <w:r>
        <w:rPr>
          <w:rFonts w:ascii="Calibri" w:hAnsi="Calibri"/>
          <w:b w:val="1"/>
          <w:color w:val="212121"/>
          <w:sz w:val="20"/>
        </w:rPr>
        <w:t>A test is a snapshot of one day.</w:t>
      </w:r>
      <w:r>
        <w:rPr>
          <w:rFonts w:ascii="Calibri" w:hAnsi="Calibri"/>
          <w:color w:val="212121"/>
          <w:sz w:val="20"/>
        </w:rPr>
        <w:t xml:space="preserve"> Temperature, room pressure, duct condition, neighbouring hood operation and the presence of apparatus all change the result. The value of a test programme lies in repetition against a recorded baseline, not in a single certificate.</w:t>
      </w:r>
    </w:p>
    <w:p w14:paraId="2EAF316A">
      <w:pPr>
        <w:spacing w:before="0" w:after="120" w:line="372" w:lineRule="auto"/>
        <w:jc w:val="both"/>
      </w:pPr>
      <w:r>
        <w:rPr>
          <w:rFonts w:ascii="Calibri" w:hAnsi="Calibri"/>
          <w:b w:val="1"/>
          <w:color w:val="212121"/>
          <w:sz w:val="20"/>
        </w:rPr>
        <w:t>Tracer choice is changing.</w:t>
      </w:r>
      <w:r>
        <w:rPr>
          <w:rFonts w:ascii="Calibri" w:hAnsi="Calibri"/>
          <w:color w:val="212121"/>
          <w:sz w:val="20"/>
        </w:rPr>
        <w:t xml:space="preserve"> SF₆'s greenhouse warming potential is driving restriction in some jurisdictions, particularly for as-used tests. Projects in those markets should state the permitted tracer in the specification, because a result obtained with SF₆ is not directly comparable with one obtained with a substitute without a correction that the standard does not currently provide.</w:t>
      </w:r>
    </w:p>
    <w:p w14:paraId="7394321D">
      <w:pPr>
        <w:pStyle w:val="00000a"/>
        <w:pBdr>
          <w:bottom w:val="single" w:color="1565C0" w:sz="9" w:space="0"/>
        </w:pBdr>
        <w:spacing w:before="400" w:after="160" w:line="300" w:lineRule="auto"/>
        <w:jc w:val="left"/>
      </w:pPr>
      <w:bookmarkStart w:id="15" w:name="section-15"/>
      <w:bookmarkEnd w:id="15"/>
      <w:r>
        <w:rPr>
          <w:rFonts w:ascii="Arial" w:hAnsi="Arial"/>
          <w:b w:val="1"/>
          <w:color w:val="14243F"/>
          <w:sz w:val="30"/>
        </w:rPr>
        <w:t>15. References</w:t>
      </w:r>
    </w:p>
    <w:p w14:paraId="458C1FAE">
      <w:pPr>
        <w:pStyle w:val="000032"/>
        <w:numPr>
          <w:ilvl w:val="0"/>
          <w:numId w:val="2"/>
        </w:numPr>
        <w:spacing w:before="0" w:after="80" w:line="372" w:lineRule="auto"/>
        <w:jc w:val="both"/>
      </w:pPr>
      <w:r>
        <w:rPr>
          <w:rFonts w:ascii="Calibri" w:hAnsi="Calibri"/>
          <w:b w:val="1"/>
          <w:color w:val="212121"/>
          <w:sz w:val="20"/>
        </w:rPr>
        <w:t>1.</w:t>
      </w:r>
      <w:r>
        <w:rPr>
          <w:rFonts w:ascii="Calibri" w:hAnsi="Calibri"/>
          <w:color w:val="212121"/>
          <w:sz w:val="20"/>
        </w:rPr>
        <w:t xml:space="preserve"> ANSI/ASHRAE 110-2016, Method of Testing Performance of Laboratory Fume Hoods. ASHRAE, Atlanta.</w:t>
      </w:r>
    </w:p>
    <w:p w14:paraId="42453FFC">
      <w:pPr>
        <w:pStyle w:val="000032"/>
        <w:numPr>
          <w:ilvl w:val="0"/>
          <w:numId w:val="2"/>
        </w:numPr>
        <w:spacing w:before="0" w:after="80" w:line="372" w:lineRule="auto"/>
        <w:jc w:val="both"/>
      </w:pPr>
      <w:r>
        <w:rPr>
          <w:rFonts w:ascii="Calibri" w:hAnsi="Calibri"/>
          <w:b w:val="1"/>
          <w:color w:val="212121"/>
          <w:sz w:val="20"/>
        </w:rPr>
        <w:t>2.</w:t>
      </w:r>
      <w:r>
        <w:rPr>
          <w:rFonts w:ascii="Calibri" w:hAnsi="Calibri"/>
          <w:color w:val="212121"/>
          <w:sz w:val="20"/>
        </w:rPr>
        <w:t xml:space="preserve"> ANSI/ASHRAE/ASSP Z9.5-2022, Laboratory Ventilation. Control levels §3.4; design face velocity §4.3.1; routine testing §7.3.</w:t>
      </w:r>
    </w:p>
    <w:p w14:paraId="449E218F">
      <w:pPr>
        <w:pStyle w:val="000032"/>
        <w:numPr>
          <w:ilvl w:val="0"/>
          <w:numId w:val="2"/>
        </w:numPr>
        <w:spacing w:before="0" w:after="80" w:line="372" w:lineRule="auto"/>
        <w:jc w:val="both"/>
      </w:pPr>
      <w:r>
        <w:rPr>
          <w:rFonts w:ascii="Calibri" w:hAnsi="Calibri"/>
          <w:b w:val="1"/>
          <w:color w:val="212121"/>
          <w:sz w:val="20"/>
        </w:rPr>
        <w:t>3.</w:t>
      </w:r>
      <w:r>
        <w:rPr>
          <w:rFonts w:ascii="Calibri" w:hAnsi="Calibri"/>
          <w:color w:val="212121"/>
          <w:sz w:val="20"/>
        </w:rPr>
        <w:t xml:space="preserve"> SEFA 1, Laboratory Fume Hoods — Recommended Practices. Scientific Equipment and Furniture Association.</w:t>
      </w:r>
    </w:p>
    <w:p w14:paraId="39FDDDD2">
      <w:pPr>
        <w:pStyle w:val="000032"/>
        <w:numPr>
          <w:ilvl w:val="0"/>
          <w:numId w:val="2"/>
        </w:numPr>
        <w:spacing w:before="0" w:after="80" w:line="372" w:lineRule="auto"/>
        <w:jc w:val="both"/>
      </w:pPr>
      <w:r>
        <w:rPr>
          <w:rFonts w:ascii="Calibri" w:hAnsi="Calibri"/>
          <w:b w:val="1"/>
          <w:color w:val="212121"/>
          <w:sz w:val="20"/>
        </w:rPr>
        <w:t>4.</w:t>
      </w:r>
      <w:r>
        <w:rPr>
          <w:rFonts w:ascii="Calibri" w:hAnsi="Calibri"/>
          <w:color w:val="212121"/>
          <w:sz w:val="20"/>
        </w:rPr>
        <w:t xml:space="preserve"> EN 14175-2:2003 and EN 14175-3:2006, Fume Cupboards. CEN.</w:t>
      </w:r>
    </w:p>
    <w:p w14:paraId="1E0A165A">
      <w:pPr>
        <w:pStyle w:val="000032"/>
        <w:numPr>
          <w:ilvl w:val="0"/>
          <w:numId w:val="2"/>
        </w:numPr>
        <w:spacing w:before="0" w:after="80" w:line="372" w:lineRule="auto"/>
        <w:jc w:val="both"/>
      </w:pPr>
      <w:r>
        <w:rPr>
          <w:rFonts w:ascii="Calibri" w:hAnsi="Calibri"/>
          <w:b w:val="1"/>
          <w:color w:val="212121"/>
          <w:sz w:val="20"/>
        </w:rPr>
        <w:t>5.</w:t>
      </w:r>
      <w:r>
        <w:rPr>
          <w:rFonts w:ascii="Calibri" w:hAnsi="Calibri"/>
          <w:color w:val="212121"/>
          <w:sz w:val="20"/>
        </w:rPr>
        <w:t xml:space="preserve"> JGJ 91-2019, Code for Design of Scientific Research Buildings, Table 8.3.2. China.</w:t>
      </w:r>
    </w:p>
    <w:p w14:paraId="083A306A">
      <w:pPr>
        <w:pStyle w:val="000032"/>
        <w:numPr>
          <w:ilvl w:val="0"/>
          <w:numId w:val="2"/>
        </w:numPr>
        <w:spacing w:before="0" w:after="80" w:line="372" w:lineRule="auto"/>
        <w:jc w:val="both"/>
      </w:pPr>
      <w:r>
        <w:rPr>
          <w:rFonts w:ascii="Calibri" w:hAnsi="Calibri"/>
          <w:b w:val="1"/>
          <w:color w:val="212121"/>
          <w:sz w:val="20"/>
        </w:rPr>
        <w:t>6.</w:t>
      </w:r>
      <w:r>
        <w:rPr>
          <w:rFonts w:ascii="Calibri" w:hAnsi="Calibri"/>
          <w:color w:val="212121"/>
          <w:sz w:val="20"/>
        </w:rPr>
        <w:t xml:space="preserve"> GB/T 24820-2024, General Technical Requirements for Laboratory Furniture. China.</w:t>
      </w:r>
    </w:p>
    <w:p w14:paraId="648A0160">
      <w:pPr>
        <w:pStyle w:val="000032"/>
        <w:numPr>
          <w:ilvl w:val="0"/>
          <w:numId w:val="2"/>
        </w:numPr>
        <w:spacing w:before="0" w:after="80" w:line="372" w:lineRule="auto"/>
        <w:jc w:val="both"/>
      </w:pPr>
      <w:r>
        <w:rPr>
          <w:rFonts w:ascii="Calibri" w:hAnsi="Calibri"/>
          <w:b w:val="1"/>
          <w:color w:val="212121"/>
          <w:sz w:val="20"/>
        </w:rPr>
        <w:t>7.</w:t>
      </w:r>
      <w:r>
        <w:rPr>
          <w:rFonts w:ascii="Calibri" w:hAnsi="Calibri"/>
          <w:color w:val="212121"/>
          <w:sz w:val="20"/>
        </w:rPr>
        <w:t xml:space="preserve"> Yan R., Dong Z., Lu S., Lai Y., Lü M. Analysis of the influence of the underside baffle and deflector of the fume hood on the flow field. Journal of Shandong University (Engineering Science), 2021, 51(5): 122–130.</w:t>
      </w:r>
    </w:p>
    <w:p w14:paraId="4029C61C">
      <w:pPr>
        <w:pStyle w:val="000032"/>
        <w:numPr>
          <w:ilvl w:val="0"/>
          <w:numId w:val="2"/>
        </w:numPr>
        <w:spacing w:before="0" w:after="80" w:line="372" w:lineRule="auto"/>
        <w:jc w:val="both"/>
      </w:pPr>
      <w:r>
        <w:rPr>
          <w:rFonts w:ascii="Calibri" w:hAnsi="Calibri"/>
          <w:b w:val="1"/>
          <w:color w:val="212121"/>
          <w:sz w:val="20"/>
        </w:rPr>
        <w:t>8.</w:t>
      </w:r>
      <w:r>
        <w:rPr>
          <w:rFonts w:ascii="Calibri" w:hAnsi="Calibri"/>
          <w:color w:val="212121"/>
          <w:sz w:val="20"/>
        </w:rPr>
        <w:t xml:space="preserve"> Omar M.A.A. Effect of Baffle Design Configuration to the Flow Performance of a Servco Fume Cupboard. MSc thesis, UiTM, 2018.</w:t>
      </w:r>
    </w:p>
    <w:p w14:paraId="4ECF4F81">
      <w:pPr>
        <w:pStyle w:val="000032"/>
        <w:numPr>
          <w:ilvl w:val="0"/>
          <w:numId w:val="2"/>
        </w:numPr>
        <w:spacing w:before="0" w:after="80" w:line="372" w:lineRule="auto"/>
        <w:jc w:val="both"/>
      </w:pPr>
      <w:r>
        <w:rPr>
          <w:rFonts w:ascii="Calibri" w:hAnsi="Calibri"/>
          <w:b w:val="1"/>
          <w:color w:val="212121"/>
          <w:sz w:val="20"/>
        </w:rPr>
        <w:t>9.</w:t>
      </w:r>
      <w:r>
        <w:rPr>
          <w:rFonts w:ascii="Calibri" w:hAnsi="Calibri"/>
          <w:color w:val="212121"/>
          <w:sz w:val="20"/>
        </w:rPr>
        <w:t xml:space="preserve"> DAI Scientific / Flow Sciences. Bypass Fume Hoods Compared Using CFD — Legacy vs STF Design, 2023.</w:t>
      </w:r>
    </w:p>
    <w:p w14:paraId="68E1BDA5">
      <w:pPr>
        <w:pStyle w:val="000032"/>
        <w:numPr>
          <w:ilvl w:val="0"/>
          <w:numId w:val="2"/>
        </w:numPr>
        <w:spacing w:before="0" w:after="80" w:line="372" w:lineRule="auto"/>
        <w:jc w:val="both"/>
      </w:pPr>
      <w:r>
        <w:rPr>
          <w:rFonts w:ascii="Calibri" w:hAnsi="Calibri"/>
          <w:b w:val="1"/>
          <w:color w:val="212121"/>
          <w:sz w:val="20"/>
        </w:rPr>
        <w:t>10.</w:t>
      </w:r>
      <w:r>
        <w:rPr>
          <w:rFonts w:ascii="Calibri" w:hAnsi="Calibri"/>
          <w:color w:val="212121"/>
          <w:sz w:val="20"/>
        </w:rPr>
        <w:t xml:space="preserve"> Pasanen T., Kalliokoski P., Kokotti H. Performance of Laboratory Fume Hoods. University of Kuopio; AIVC.</w:t>
      </w:r>
    </w:p>
    <w:p w14:paraId="6E2B9347">
      <w:pPr>
        <w:pStyle w:val="000032"/>
        <w:numPr>
          <w:ilvl w:val="0"/>
          <w:numId w:val="2"/>
        </w:numPr>
        <w:spacing w:before="0" w:after="80" w:line="372" w:lineRule="auto"/>
        <w:jc w:val="both"/>
      </w:pPr>
      <w:r>
        <w:rPr>
          <w:rFonts w:ascii="Calibri" w:hAnsi="Calibri"/>
          <w:b w:val="1"/>
          <w:color w:val="212121"/>
          <w:sz w:val="20"/>
        </w:rPr>
        <w:t>11.</w:t>
      </w:r>
      <w:r>
        <w:rPr>
          <w:rFonts w:ascii="Calibri" w:hAnsi="Calibri"/>
          <w:color w:val="212121"/>
          <w:sz w:val="20"/>
        </w:rPr>
        <w:t xml:space="preserve"> Evaluation of laboratory fume-hood performance in a petrochemical industry based on ASHRAE 110. Iran.</w:t>
      </w:r>
    </w:p>
    <w:p w14:paraId="1B8ADCA7">
      <w:pPr>
        <w:pStyle w:val="000032"/>
        <w:numPr>
          <w:ilvl w:val="0"/>
          <w:numId w:val="2"/>
        </w:numPr>
        <w:spacing w:before="0" w:after="80" w:line="372" w:lineRule="auto"/>
        <w:jc w:val="both"/>
      </w:pPr>
      <w:r>
        <w:rPr>
          <w:rFonts w:ascii="Calibri" w:hAnsi="Calibri"/>
          <w:b w:val="1"/>
          <w:color w:val="212121"/>
          <w:sz w:val="20"/>
        </w:rPr>
        <w:t>12.</w:t>
      </w:r>
      <w:r>
        <w:rPr>
          <w:rFonts w:ascii="Calibri" w:hAnsi="Calibri"/>
          <w:color w:val="212121"/>
          <w:sz w:val="20"/>
        </w:rPr>
        <w:t xml:space="preserve"> Jacobs P.J. Laboratory Fume Hood Performance. MSc thesis, University of the Witwatersrand, 2009.</w:t>
      </w:r>
    </w:p>
    <w:p w14:paraId="5E613FFD">
      <w:pPr>
        <w:pStyle w:val="000032"/>
        <w:numPr>
          <w:ilvl w:val="0"/>
          <w:numId w:val="2"/>
        </w:numPr>
        <w:spacing w:before="0" w:after="80" w:line="372" w:lineRule="auto"/>
        <w:jc w:val="both"/>
      </w:pPr>
      <w:r>
        <w:rPr>
          <w:rFonts w:ascii="Calibri" w:hAnsi="Calibri"/>
          <w:b w:val="1"/>
          <w:color w:val="212121"/>
          <w:sz w:val="20"/>
        </w:rPr>
        <w:t>13.</w:t>
      </w:r>
      <w:r>
        <w:rPr>
          <w:rFonts w:ascii="Calibri" w:hAnsi="Calibri"/>
          <w:color w:val="212121"/>
          <w:sz w:val="20"/>
        </w:rPr>
        <w:t xml:space="preserve"> NEBB. The Myth of Face Velocity Reloaded. National Environmental Balancing Bureau.</w:t>
      </w:r>
    </w:p>
    <w:p w14:paraId="2CE1540F">
      <w:pPr>
        <w:pStyle w:val="000032"/>
        <w:numPr>
          <w:ilvl w:val="0"/>
          <w:numId w:val="2"/>
        </w:numPr>
        <w:spacing w:before="0" w:after="80" w:line="372" w:lineRule="auto"/>
        <w:jc w:val="both"/>
      </w:pPr>
      <w:r>
        <w:rPr>
          <w:rFonts w:ascii="Calibri" w:hAnsi="Calibri"/>
          <w:b w:val="1"/>
          <w:color w:val="212121"/>
          <w:sz w:val="20"/>
        </w:rPr>
        <w:t>14.</w:t>
      </w:r>
      <w:r>
        <w:rPr>
          <w:rFonts w:ascii="Calibri" w:hAnsi="Calibri"/>
          <w:color w:val="212121"/>
          <w:sz w:val="20"/>
        </w:rPr>
        <w:t xml:space="preserve"> SafeLab. Using the ASHRAE 110 Test as a TQM Tool to Improve Laboratory Fume Hood Performance.</w:t>
      </w:r>
    </w:p>
    <w:p w14:paraId="46358935">
      <w:pPr>
        <w:pStyle w:val="000032"/>
        <w:numPr>
          <w:ilvl w:val="0"/>
          <w:numId w:val="2"/>
        </w:numPr>
        <w:spacing w:before="0" w:after="80" w:line="372" w:lineRule="auto"/>
        <w:jc w:val="both"/>
      </w:pPr>
      <w:r>
        <w:rPr>
          <w:rFonts w:ascii="Calibri" w:hAnsi="Calibri"/>
          <w:b w:val="1"/>
          <w:color w:val="212121"/>
          <w:sz w:val="20"/>
        </w:rPr>
        <w:t>15.</w:t>
      </w:r>
      <w:r>
        <w:rPr>
          <w:rFonts w:ascii="Calibri" w:hAnsi="Calibri"/>
          <w:color w:val="212121"/>
          <w:sz w:val="20"/>
        </w:rPr>
        <w:t xml:space="preserve"> 2025 National Laboratory Safety Hazard Special Inspection Bulletin. China.</w:t>
      </w:r>
    </w:p>
    <w:p w14:paraId="6F8A5C2F">
      <w:pPr>
        <w:pStyle w:val="000032"/>
        <w:numPr>
          <w:ilvl w:val="0"/>
          <w:numId w:val="2"/>
        </w:numPr>
        <w:spacing w:before="0" w:after="80" w:line="372" w:lineRule="auto"/>
        <w:jc w:val="both"/>
      </w:pPr>
      <w:r>
        <w:rPr>
          <w:rFonts w:ascii="Calibri" w:hAnsi="Calibri"/>
          <w:b w:val="1"/>
          <w:color w:val="212121"/>
          <w:sz w:val="20"/>
        </w:rPr>
        <w:t>16.</w:t>
      </w:r>
      <w:r>
        <w:rPr>
          <w:rFonts w:ascii="Calibri" w:hAnsi="Calibri"/>
          <w:color w:val="212121"/>
          <w:sz w:val="20"/>
        </w:rPr>
        <w:t xml:space="preserve"> Survey of Local Exhaust Ventilation Facilities in 27 Manufacturing Enterprises, Shanghai. Journal of Occupational Health and Emergency Rescue, 2024(5).</w:t>
      </w:r>
    </w:p>
    <w:p w14:paraId="60C37EAB">
      <w:pPr>
        <w:pStyle w:val="000032"/>
        <w:numPr>
          <w:ilvl w:val="0"/>
          <w:numId w:val="2"/>
        </w:numPr>
        <w:spacing w:before="0" w:after="80" w:line="372" w:lineRule="auto"/>
        <w:jc w:val="both"/>
      </w:pPr>
      <w:r>
        <w:rPr>
          <w:rFonts w:ascii="Calibri" w:hAnsi="Calibri"/>
          <w:b w:val="1"/>
          <w:color w:val="212121"/>
          <w:sz w:val="20"/>
        </w:rPr>
        <w:t>17.</w:t>
      </w:r>
      <w:r>
        <w:rPr>
          <w:rFonts w:ascii="Calibri" w:hAnsi="Calibri"/>
          <w:color w:val="212121"/>
          <w:sz w:val="20"/>
        </w:rPr>
        <w:t xml:space="preserve"> Crowe E. et al. How Faulty are Commercial Buildings? LBNL / PNNL, 2023.</w:t>
      </w:r>
    </w:p>
    <w:p w14:paraId="570ABEAC">
      <w:pPr>
        <w:pStyle w:val="000032"/>
        <w:numPr>
          <w:ilvl w:val="0"/>
          <w:numId w:val="2"/>
        </w:numPr>
        <w:spacing w:before="0" w:after="80" w:line="372" w:lineRule="auto"/>
        <w:jc w:val="both"/>
      </w:pPr>
      <w:r>
        <w:rPr>
          <w:rFonts w:ascii="Calibri" w:hAnsi="Calibri"/>
          <w:b w:val="1"/>
          <w:color w:val="212121"/>
          <w:sz w:val="20"/>
        </w:rPr>
        <w:t>18.</w:t>
      </w:r>
      <w:r>
        <w:rPr>
          <w:rFonts w:ascii="Calibri" w:hAnsi="Calibri"/>
          <w:color w:val="212121"/>
          <w:sz w:val="20"/>
        </w:rPr>
        <w:t xml:space="preserve"> Deiiang type-test data sheet, T3 fume hood, ASHRAE 110-2016 (AM). Independent test body, 2025.</w:t>
      </w:r>
    </w:p>
    <w:p w14:paraId="500CEB8C">
      <w:pPr>
        <w:pStyle w:val="000032"/>
        <w:numPr>
          <w:ilvl w:val="0"/>
          <w:numId w:val="2"/>
        </w:numPr>
        <w:spacing w:before="0" w:after="80" w:line="372" w:lineRule="auto"/>
        <w:jc w:val="both"/>
      </w:pPr>
      <w:r>
        <w:rPr>
          <w:rFonts w:ascii="Calibri" w:hAnsi="Calibri"/>
          <w:b w:val="1"/>
          <w:color w:val="212121"/>
          <w:sz w:val="20"/>
        </w:rPr>
        <w:t>19.</w:t>
      </w:r>
      <w:r>
        <w:rPr>
          <w:rFonts w:ascii="Calibri" w:hAnsi="Calibri"/>
          <w:color w:val="212121"/>
          <w:sz w:val="20"/>
        </w:rPr>
        <w:t xml:space="preserve"> Deiiang test report BT2504G1590554GR, GB/T 24820-2024, X1 all-steel fume hood. 2025.</w:t>
      </w:r>
    </w:p>
    <w:p w14:paraId="5F05A441">
      <w:pPr>
        <w:pStyle w:val="00000a"/>
        <w:pBdr>
          <w:bottom w:val="single" w:color="1565C0" w:sz="9" w:space="0"/>
        </w:pBdr>
        <w:spacing w:before="400" w:after="160" w:line="300" w:lineRule="auto"/>
        <w:jc w:val="left"/>
      </w:pPr>
      <w:bookmarkStart w:id="16" w:name="section-16"/>
      <w:bookmarkEnd w:id="16"/>
      <w:r>
        <w:rPr>
          <w:rFonts w:ascii="Arial" w:hAnsi="Arial"/>
          <w:b w:val="1"/>
          <w:color w:val="14243F"/>
          <w:sz w:val="30"/>
        </w:rPr>
        <w:t>Appendix A — As-installed commissioning data sheet</w:t>
      </w:r>
    </w:p>
    <w:tbl>
      <w:tblPr>
        <w:tblW w:w="5000" w:type="pct"/>
        <w:tblLayout w:type="autofit"/>
        <w:tblLook w:firstRow="1" w:lastRow="0" w:firstColumn="1" w:lastColumn="0" w:noHBand="0" w:noVBand="1" w:val="04A0"/>
      </w:tblPr>
      <w:tblGrid>
        <w:gridCol w:w="4320"/>
        <w:gridCol w:w="4320"/>
      </w:tblGrid>
      <w:tr>
        <w:trPr/>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68FA7F34">
            <w:pPr>
              <w:spacing w:before="42" w:after="42" w:line="240" w:lineRule="auto"/>
              <w:jc w:val="left"/>
            </w:pPr>
            <w:r>
              <w:rPr>
                <w:rFonts w:ascii="Arial" w:hAnsi="Arial" w:eastAsia="Arial"/>
                <w:b w:val="1"/>
                <w:color w:val="14243F"/>
                <w:sz w:val="17"/>
              </w:rPr>
              <w:t>Field</w:t>
            </w:r>
          </w:p>
        </w:tc>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040AA7DB">
            <w:pPr>
              <w:spacing w:before="42" w:after="42" w:line="240" w:lineRule="auto"/>
              <w:jc w:val="left"/>
            </w:pPr>
            <w:r>
              <w:rPr>
                <w:rFonts w:ascii="Arial" w:hAnsi="Arial" w:eastAsia="Arial"/>
                <w:b w:val="1"/>
                <w:color w:val="14243F"/>
                <w:sz w:val="17"/>
              </w:rPr>
              <w:t>Entry</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D682E06">
            <w:pPr>
              <w:spacing w:before="33" w:after="33" w:line="240" w:lineRule="auto"/>
              <w:jc w:val="left"/>
            </w:pPr>
            <w:r>
              <w:rPr>
                <w:rFonts w:ascii="Calibri" w:hAnsi="Calibri" w:eastAsia="Calibri"/>
                <w:color w:val="212121"/>
                <w:sz w:val="17"/>
              </w:rPr>
              <w:t>Project / laboratory</w:t>
            </w:r>
          </w:p>
        </w:tc>
        <w:bookmarkStart w:id="17" w:name="Project / laboratory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7BD5186">
            <w:pPr>
              <w:spacing w:before="33" w:after="33" w:line="240" w:lineRule="auto"/>
              <w:jc w:val="left"/>
            </w:pPr>
            <w:r>
              <w:rPr>
                <w:rFonts w:ascii="Calibri" w:hAnsi="Calibri" w:eastAsia="Calibri"/>
                <w:color w:val="212121"/>
                <w:sz w:val="17"/>
              </w:rPr>
              <w:t> </w:t>
            </w:r>
            <w:bookmarkEnd w:id="17"/>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D7FC4A3">
            <w:pPr>
              <w:spacing w:before="33" w:after="33" w:line="240" w:lineRule="auto"/>
              <w:jc w:val="left"/>
            </w:pPr>
            <w:r>
              <w:rPr>
                <w:rFonts w:ascii="Calibri" w:hAnsi="Calibri" w:eastAsia="Calibri"/>
                <w:color w:val="212121"/>
                <w:sz w:val="17"/>
              </w:rPr>
              <w:t>Hood model and serial</w:t>
            </w:r>
          </w:p>
        </w:tc>
        <w:bookmarkStart w:id="18" w:name="Hood model and serial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7D7DB58">
            <w:pPr>
              <w:spacing w:before="33" w:after="33" w:line="240" w:lineRule="auto"/>
              <w:jc w:val="left"/>
            </w:pPr>
            <w:r>
              <w:rPr>
                <w:rFonts w:ascii="Calibri" w:hAnsi="Calibri" w:eastAsia="Calibri"/>
                <w:color w:val="212121"/>
                <w:sz w:val="17"/>
              </w:rPr>
              <w:t> </w:t>
            </w:r>
            <w:bookmarkEnd w:id="18"/>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CCDB03F">
            <w:pPr>
              <w:spacing w:before="33" w:after="33" w:line="240" w:lineRule="auto"/>
              <w:jc w:val="left"/>
            </w:pPr>
            <w:r>
              <w:rPr>
                <w:rFonts w:ascii="Calibri" w:hAnsi="Calibri" w:eastAsia="Calibri"/>
                <w:color w:val="212121"/>
                <w:sz w:val="17"/>
              </w:rPr>
              <w:t>Nominal size (W×D×H)</w:t>
            </w:r>
          </w:p>
        </w:tc>
        <w:bookmarkStart w:id="19" w:name="Nominal size (W×D×H)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11862D1">
            <w:pPr>
              <w:spacing w:before="33" w:after="33" w:line="240" w:lineRule="auto"/>
              <w:jc w:val="left"/>
            </w:pPr>
            <w:r>
              <w:rPr>
                <w:rFonts w:ascii="Calibri" w:hAnsi="Calibri" w:eastAsia="Calibri"/>
                <w:color w:val="212121"/>
                <w:sz w:val="17"/>
              </w:rPr>
              <w:t> </w:t>
            </w:r>
            <w:bookmarkEnd w:id="19"/>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7F8249E">
            <w:pPr>
              <w:spacing w:before="33" w:after="33" w:line="240" w:lineRule="auto"/>
              <w:jc w:val="left"/>
            </w:pPr>
            <w:r>
              <w:rPr>
                <w:rFonts w:ascii="Calibri" w:hAnsi="Calibri" w:eastAsia="Calibri"/>
                <w:color w:val="212121"/>
                <w:sz w:val="17"/>
              </w:rPr>
              <w:t>Test standard and edition</w:t>
            </w:r>
          </w:p>
        </w:tc>
        <w:bookmarkStart w:id="20" w:name="Test standard and editio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895490E">
            <w:pPr>
              <w:spacing w:before="33" w:after="33" w:line="240" w:lineRule="auto"/>
              <w:jc w:val="left"/>
            </w:pPr>
            <w:r>
              <w:rPr>
                <w:rFonts w:ascii="Calibri" w:hAnsi="Calibri" w:eastAsia="Calibri"/>
                <w:color w:val="212121"/>
                <w:sz w:val="17"/>
              </w:rPr>
              <w:t> </w:t>
            </w:r>
            <w:bookmarkEnd w:id="20"/>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07E2796">
            <w:pPr>
              <w:spacing w:before="33" w:after="33" w:line="240" w:lineRule="auto"/>
              <w:jc w:val="left"/>
            </w:pPr>
            <w:r>
              <w:rPr>
                <w:rFonts w:ascii="Calibri" w:hAnsi="Calibri" w:eastAsia="Calibri"/>
                <w:color w:val="212121"/>
                <w:sz w:val="17"/>
              </w:rPr>
              <w:t>Test state</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B5EF7A8">
            <w:pPr>
              <w:spacing w:before="33" w:after="33" w:line="240" w:lineRule="auto"/>
              <w:jc w:val="left"/>
            </w:pPr>
            <w:r>
              <w:rPr>
                <w:rFonts w:ascii="Calibri" w:hAnsi="Calibri" w:eastAsia="Calibri"/>
                <w:color w:val="212121"/>
                <w:sz w:val="17"/>
              </w:rPr>
              <w:t>AI</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5F14DF6">
            <w:pPr>
              <w:spacing w:before="33" w:after="33" w:line="240" w:lineRule="auto"/>
              <w:jc w:val="left"/>
            </w:pPr>
            <w:r>
              <w:rPr>
                <w:rFonts w:ascii="Calibri" w:hAnsi="Calibri" w:eastAsia="Calibri"/>
                <w:color w:val="212121"/>
                <w:sz w:val="17"/>
              </w:rPr>
              <w:t>Control level applied and source</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7BCB875">
            <w:pPr>
              <w:spacing w:before="33" w:after="33" w:line="240" w:lineRule="auto"/>
              <w:jc w:val="left"/>
            </w:pPr>
            <w:r>
              <w:rPr>
                <w:rFonts w:ascii="Calibri" w:hAnsi="Calibri" w:eastAsia="Calibri"/>
                <w:color w:val="212121"/>
                <w:sz w:val="17"/>
              </w:rPr>
              <w:t>0.10 ppm, Z9.5-2022 §3.4</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086B9D9">
            <w:pPr>
              <w:spacing w:before="33" w:after="33" w:line="240" w:lineRule="auto"/>
              <w:jc w:val="left"/>
            </w:pPr>
            <w:r>
              <w:rPr>
                <w:rFonts w:ascii="Calibri" w:hAnsi="Calibri" w:eastAsia="Calibri"/>
                <w:color w:val="212121"/>
                <w:sz w:val="17"/>
              </w:rPr>
              <w:t>Room temperature / pressure differential</w:t>
            </w:r>
          </w:p>
        </w:tc>
        <w:bookmarkStart w:id="21" w:name="Room temperature / pressure differential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A20F64B">
            <w:pPr>
              <w:spacing w:before="33" w:after="33" w:line="240" w:lineRule="auto"/>
              <w:jc w:val="left"/>
            </w:pPr>
            <w:r>
              <w:rPr>
                <w:rFonts w:ascii="Calibri" w:hAnsi="Calibri" w:eastAsia="Calibri"/>
                <w:color w:val="212121"/>
                <w:sz w:val="17"/>
              </w:rPr>
              <w:t> </w:t>
            </w:r>
            <w:bookmarkEnd w:id="21"/>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4630C73">
            <w:pPr>
              <w:spacing w:before="33" w:after="33" w:line="240" w:lineRule="auto"/>
              <w:jc w:val="left"/>
            </w:pPr>
            <w:r>
              <w:rPr>
                <w:rFonts w:ascii="Calibri" w:hAnsi="Calibri" w:eastAsia="Calibri"/>
                <w:color w:val="212121"/>
                <w:sz w:val="17"/>
              </w:rPr>
              <w:t>Supply airflow / exhaust airflow</w:t>
            </w:r>
          </w:p>
        </w:tc>
        <w:bookmarkStart w:id="22" w:name="Supply airflow / exhaust airflow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9C4671D">
            <w:pPr>
              <w:spacing w:before="33" w:after="33" w:line="240" w:lineRule="auto"/>
              <w:jc w:val="left"/>
            </w:pPr>
            <w:r>
              <w:rPr>
                <w:rFonts w:ascii="Calibri" w:hAnsi="Calibri" w:eastAsia="Calibri"/>
                <w:color w:val="212121"/>
                <w:sz w:val="17"/>
              </w:rPr>
              <w:t> </w:t>
            </w:r>
            <w:bookmarkEnd w:id="22"/>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C44A120">
            <w:pPr>
              <w:spacing w:before="33" w:after="33" w:line="240" w:lineRule="auto"/>
              <w:jc w:val="left"/>
            </w:pPr>
            <w:r>
              <w:rPr>
                <w:rFonts w:ascii="Calibri" w:hAnsi="Calibri" w:eastAsia="Calibri"/>
                <w:color w:val="212121"/>
                <w:sz w:val="17"/>
              </w:rPr>
              <w:t>Cross-draft, mean of 30 s</w:t>
            </w:r>
          </w:p>
        </w:tc>
        <w:bookmarkStart w:id="23" w:name="Cross-draft, mean of 30 s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2E87C7B">
            <w:pPr>
              <w:spacing w:before="33" w:after="33" w:line="240" w:lineRule="auto"/>
              <w:jc w:val="left"/>
            </w:pPr>
            <w:r>
              <w:rPr>
                <w:rFonts w:ascii="Calibri" w:hAnsi="Calibri" w:eastAsia="Calibri"/>
                <w:color w:val="212121"/>
                <w:sz w:val="17"/>
              </w:rPr>
              <w:t> </w:t>
            </w:r>
            <w:bookmarkEnd w:id="23"/>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DF613C8">
            <w:pPr>
              <w:spacing w:before="33" w:after="33" w:line="240" w:lineRule="auto"/>
              <w:jc w:val="left"/>
            </w:pPr>
            <w:r>
              <w:rPr>
                <w:rFonts w:ascii="Calibri" w:hAnsi="Calibri" w:eastAsia="Calibri"/>
                <w:color w:val="212121"/>
                <w:sz w:val="17"/>
              </w:rPr>
              <w:t>Design sash position</w:t>
            </w:r>
          </w:p>
        </w:tc>
        <w:bookmarkStart w:id="24" w:name="Design sash positio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09D83D4">
            <w:pPr>
              <w:spacing w:before="33" w:after="33" w:line="240" w:lineRule="auto"/>
              <w:jc w:val="left"/>
            </w:pPr>
            <w:r>
              <w:rPr>
                <w:rFonts w:ascii="Calibri" w:hAnsi="Calibri" w:eastAsia="Calibri"/>
                <w:color w:val="212121"/>
                <w:sz w:val="17"/>
              </w:rPr>
              <w:t> </w:t>
            </w:r>
            <w:bookmarkEnd w:id="24"/>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973E412">
            <w:pPr>
              <w:spacing w:before="33" w:after="33" w:line="240" w:lineRule="auto"/>
              <w:jc w:val="left"/>
            </w:pPr>
            <w:r>
              <w:rPr>
                <w:rFonts w:ascii="Calibri" w:hAnsi="Calibri" w:eastAsia="Calibri"/>
                <w:color w:val="212121"/>
                <w:sz w:val="17"/>
              </w:rPr>
              <w:t>Face velocity, mean</w:t>
            </w:r>
          </w:p>
        </w:tc>
        <w:bookmarkStart w:id="25" w:name="Face velocity, mea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FDA3192">
            <w:pPr>
              <w:spacing w:before="33" w:after="33" w:line="240" w:lineRule="auto"/>
              <w:jc w:val="left"/>
            </w:pPr>
            <w:r>
              <w:rPr>
                <w:rFonts w:ascii="Calibri" w:hAnsi="Calibri" w:eastAsia="Calibri"/>
                <w:color w:val="212121"/>
                <w:sz w:val="17"/>
              </w:rPr>
              <w:t> </w:t>
            </w:r>
            <w:bookmarkEnd w:id="25"/>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4868762">
            <w:pPr>
              <w:spacing w:before="33" w:after="33" w:line="240" w:lineRule="auto"/>
              <w:jc w:val="left"/>
            </w:pPr>
            <w:r>
              <w:rPr>
                <w:rFonts w:ascii="Calibri" w:hAnsi="Calibri" w:eastAsia="Calibri"/>
                <w:color w:val="212121"/>
                <w:sz w:val="17"/>
              </w:rPr>
              <w:t>Face velocity, minimum point</w:t>
            </w:r>
          </w:p>
        </w:tc>
        <w:bookmarkStart w:id="26" w:name="Face velocity, minimum point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B6F6FAA">
            <w:pPr>
              <w:spacing w:before="33" w:after="33" w:line="240" w:lineRule="auto"/>
              <w:jc w:val="left"/>
            </w:pPr>
            <w:r>
              <w:rPr>
                <w:rFonts w:ascii="Calibri" w:hAnsi="Calibri" w:eastAsia="Calibri"/>
                <w:color w:val="212121"/>
                <w:sz w:val="17"/>
              </w:rPr>
              <w:t> </w:t>
            </w:r>
            <w:bookmarkEnd w:id="26"/>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21556CF">
            <w:pPr>
              <w:spacing w:before="33" w:after="33" w:line="240" w:lineRule="auto"/>
              <w:jc w:val="left"/>
            </w:pPr>
            <w:r>
              <w:rPr>
                <w:rFonts w:ascii="Calibri" w:hAnsi="Calibri" w:eastAsia="Calibri"/>
                <w:color w:val="212121"/>
                <w:sz w:val="17"/>
              </w:rPr>
              <w:t>Uniformity deviation</w:t>
            </w:r>
          </w:p>
        </w:tc>
        <w:bookmarkStart w:id="27" w:name="Uniformity deviatio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8B1A13E">
            <w:pPr>
              <w:spacing w:before="33" w:after="33" w:line="240" w:lineRule="auto"/>
              <w:jc w:val="left"/>
            </w:pPr>
            <w:r>
              <w:rPr>
                <w:rFonts w:ascii="Calibri" w:hAnsi="Calibri" w:eastAsia="Calibri"/>
                <w:color w:val="212121"/>
                <w:sz w:val="17"/>
              </w:rPr>
              <w:t> </w:t>
            </w:r>
            <w:bookmarkEnd w:id="27"/>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6C3AC0A">
            <w:pPr>
              <w:spacing w:before="33" w:after="33" w:line="240" w:lineRule="auto"/>
              <w:jc w:val="left"/>
            </w:pPr>
            <w:r>
              <w:rPr>
                <w:rFonts w:ascii="Calibri" w:hAnsi="Calibri" w:eastAsia="Calibri"/>
                <w:color w:val="212121"/>
                <w:sz w:val="17"/>
              </w:rPr>
              <w:t>Visualisation, low flow</w:t>
            </w:r>
          </w:p>
        </w:tc>
        <w:bookmarkStart w:id="28" w:name="Visualisation, low flow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D1842FE">
            <w:pPr>
              <w:spacing w:before="33" w:after="33" w:line="240" w:lineRule="auto"/>
              <w:jc w:val="left"/>
            </w:pPr>
            <w:r>
              <w:rPr>
                <w:rFonts w:ascii="Calibri" w:hAnsi="Calibri" w:eastAsia="Calibri"/>
                <w:color w:val="212121"/>
                <w:sz w:val="17"/>
              </w:rPr>
              <w:t> </w:t>
            </w:r>
            <w:bookmarkEnd w:id="28"/>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F4CD1C0">
            <w:pPr>
              <w:spacing w:before="33" w:after="33" w:line="240" w:lineRule="auto"/>
              <w:jc w:val="left"/>
            </w:pPr>
            <w:r>
              <w:rPr>
                <w:rFonts w:ascii="Calibri" w:hAnsi="Calibri" w:eastAsia="Calibri"/>
                <w:color w:val="212121"/>
                <w:sz w:val="17"/>
              </w:rPr>
              <w:t>Visualisation, high flow and clearance time</w:t>
            </w:r>
          </w:p>
        </w:tc>
        <w:bookmarkStart w:id="29" w:name="Visualisation, high flow and clearance time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598C5C5">
            <w:pPr>
              <w:spacing w:before="33" w:after="33" w:line="240" w:lineRule="auto"/>
              <w:jc w:val="left"/>
            </w:pPr>
            <w:r>
              <w:rPr>
                <w:rFonts w:ascii="Calibri" w:hAnsi="Calibri" w:eastAsia="Calibri"/>
                <w:color w:val="212121"/>
                <w:sz w:val="17"/>
              </w:rPr>
              <w:t> </w:t>
            </w:r>
            <w:bookmarkEnd w:id="29"/>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3FA0498">
            <w:pPr>
              <w:spacing w:before="33" w:after="33" w:line="240" w:lineRule="auto"/>
              <w:jc w:val="left"/>
            </w:pPr>
            <w:r>
              <w:rPr>
                <w:rFonts w:ascii="Calibri" w:hAnsi="Calibri" w:eastAsia="Calibri"/>
                <w:color w:val="212121"/>
                <w:sz w:val="17"/>
              </w:rPr>
              <w:t>Tracer gas, left / centre / right average</w:t>
            </w:r>
          </w:p>
        </w:tc>
        <w:bookmarkStart w:id="30" w:name="Tracer gas, left / centre / right average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6858F0C">
            <w:pPr>
              <w:spacing w:before="33" w:after="33" w:line="240" w:lineRule="auto"/>
              <w:jc w:val="left"/>
            </w:pPr>
            <w:r>
              <w:rPr>
                <w:rFonts w:ascii="Calibri" w:hAnsi="Calibri" w:eastAsia="Calibri"/>
                <w:color w:val="212121"/>
                <w:sz w:val="17"/>
              </w:rPr>
              <w:t> </w:t>
            </w:r>
            <w:bookmarkEnd w:id="30"/>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AE0DCDE">
            <w:pPr>
              <w:spacing w:before="33" w:after="33" w:line="240" w:lineRule="auto"/>
              <w:jc w:val="left"/>
            </w:pPr>
            <w:r>
              <w:rPr>
                <w:rFonts w:ascii="Calibri" w:hAnsi="Calibri" w:eastAsia="Calibri"/>
                <w:color w:val="212121"/>
                <w:sz w:val="17"/>
              </w:rPr>
              <w:t>Tracer gas, maximum at any position</w:t>
            </w:r>
          </w:p>
        </w:tc>
        <w:bookmarkStart w:id="31" w:name="Tracer gas, maximum at any positio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05C5B4F">
            <w:pPr>
              <w:spacing w:before="33" w:after="33" w:line="240" w:lineRule="auto"/>
              <w:jc w:val="left"/>
            </w:pPr>
            <w:r>
              <w:rPr>
                <w:rFonts w:ascii="Calibri" w:hAnsi="Calibri" w:eastAsia="Calibri"/>
                <w:color w:val="212121"/>
                <w:sz w:val="17"/>
              </w:rPr>
              <w:t> </w:t>
            </w:r>
            <w:bookmarkEnd w:id="31"/>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7B3B019">
            <w:pPr>
              <w:spacing w:before="33" w:after="33" w:line="240" w:lineRule="auto"/>
              <w:jc w:val="left"/>
            </w:pPr>
            <w:r>
              <w:rPr>
                <w:rFonts w:ascii="Calibri" w:hAnsi="Calibri" w:eastAsia="Calibri"/>
                <w:color w:val="212121"/>
                <w:sz w:val="17"/>
              </w:rPr>
              <w:t>Sash movement RA-Max / peak</w:t>
            </w:r>
          </w:p>
        </w:tc>
        <w:bookmarkStart w:id="32" w:name="Sash movement RA-Max / peak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ADA028F">
            <w:pPr>
              <w:spacing w:before="33" w:after="33" w:line="240" w:lineRule="auto"/>
              <w:jc w:val="left"/>
            </w:pPr>
            <w:r>
              <w:rPr>
                <w:rFonts w:ascii="Calibri" w:hAnsi="Calibri" w:eastAsia="Calibri"/>
                <w:color w:val="212121"/>
                <w:sz w:val="17"/>
              </w:rPr>
              <w:t> </w:t>
            </w:r>
            <w:bookmarkEnd w:id="32"/>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79EB6A2">
            <w:pPr>
              <w:spacing w:before="33" w:after="33" w:line="240" w:lineRule="auto"/>
              <w:jc w:val="left"/>
            </w:pPr>
            <w:r>
              <w:rPr>
                <w:rFonts w:ascii="Calibri" w:hAnsi="Calibri" w:eastAsia="Calibri"/>
                <w:color w:val="212121"/>
                <w:sz w:val="17"/>
              </w:rPr>
              <w:t>Perimeter scan result</w:t>
            </w:r>
          </w:p>
        </w:tc>
        <w:bookmarkStart w:id="33" w:name="Perimeter scan result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D20FEEA">
            <w:pPr>
              <w:spacing w:before="33" w:after="33" w:line="240" w:lineRule="auto"/>
              <w:jc w:val="left"/>
            </w:pPr>
            <w:r>
              <w:rPr>
                <w:rFonts w:ascii="Calibri" w:hAnsi="Calibri" w:eastAsia="Calibri"/>
                <w:color w:val="212121"/>
                <w:sz w:val="17"/>
              </w:rPr>
              <w:t> </w:t>
            </w:r>
            <w:bookmarkEnd w:id="33"/>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F1D6521">
            <w:pPr>
              <w:spacing w:before="33" w:after="33" w:line="240" w:lineRule="auto"/>
              <w:jc w:val="left"/>
            </w:pPr>
            <w:r>
              <w:rPr>
                <w:rFonts w:ascii="Calibri" w:hAnsi="Calibri" w:eastAsia="Calibri"/>
                <w:color w:val="212121"/>
                <w:sz w:val="17"/>
              </w:rPr>
              <w:t>Analyser model and detection limit</w:t>
            </w:r>
          </w:p>
        </w:tc>
        <w:bookmarkStart w:id="34" w:name="Analyser model and detection limit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272BE9F">
            <w:pPr>
              <w:spacing w:before="33" w:after="33" w:line="240" w:lineRule="auto"/>
              <w:jc w:val="left"/>
            </w:pPr>
            <w:r>
              <w:rPr>
                <w:rFonts w:ascii="Calibri" w:hAnsi="Calibri" w:eastAsia="Calibri"/>
                <w:color w:val="212121"/>
                <w:sz w:val="17"/>
              </w:rPr>
              <w:t> </w:t>
            </w:r>
            <w:bookmarkEnd w:id="34"/>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2BAA1A3D">
            <w:pPr>
              <w:spacing w:before="33" w:after="33" w:line="240" w:lineRule="auto"/>
              <w:jc w:val="left"/>
            </w:pPr>
            <w:r>
              <w:rPr>
                <w:rFonts w:ascii="Calibri" w:hAnsi="Calibri" w:eastAsia="Calibri"/>
                <w:color w:val="212121"/>
                <w:sz w:val="17"/>
              </w:rPr>
              <w:t>Instrument calibration dates</w:t>
            </w:r>
          </w:p>
        </w:tc>
        <w:bookmarkStart w:id="35" w:name="Instrument calibration dates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0FDE36F">
            <w:pPr>
              <w:spacing w:before="33" w:after="33" w:line="240" w:lineRule="auto"/>
              <w:jc w:val="left"/>
            </w:pPr>
            <w:r>
              <w:rPr>
                <w:rFonts w:ascii="Calibri" w:hAnsi="Calibri" w:eastAsia="Calibri"/>
                <w:color w:val="212121"/>
                <w:sz w:val="17"/>
              </w:rPr>
              <w:t> </w:t>
            </w:r>
            <w:bookmarkEnd w:id="35"/>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568BA3D">
            <w:pPr>
              <w:spacing w:before="33" w:after="33" w:line="240" w:lineRule="auto"/>
              <w:jc w:val="left"/>
            </w:pPr>
            <w:r>
              <w:rPr>
                <w:rFonts w:ascii="Calibri" w:hAnsi="Calibri" w:eastAsia="Calibri"/>
                <w:color w:val="212121"/>
                <w:sz w:val="17"/>
              </w:rPr>
              <w:t>Test body and accreditation</w:t>
            </w:r>
          </w:p>
        </w:tc>
        <w:bookmarkStart w:id="36" w:name="Test body and accreditatio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A34F84E">
            <w:pPr>
              <w:spacing w:before="33" w:after="33" w:line="240" w:lineRule="auto"/>
              <w:jc w:val="left"/>
            </w:pPr>
            <w:r>
              <w:rPr>
                <w:rFonts w:ascii="Calibri" w:hAnsi="Calibri" w:eastAsia="Calibri"/>
                <w:color w:val="212121"/>
                <w:sz w:val="17"/>
              </w:rPr>
              <w:t> </w:t>
            </w:r>
            <w:bookmarkEnd w:id="36"/>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E4C460A">
            <w:pPr>
              <w:spacing w:before="33" w:after="33" w:line="240" w:lineRule="auto"/>
              <w:jc w:val="left"/>
            </w:pPr>
            <w:r>
              <w:rPr>
                <w:rFonts w:ascii="Calibri" w:hAnsi="Calibri" w:eastAsia="Calibri"/>
                <w:color w:val="212121"/>
                <w:sz w:val="17"/>
              </w:rPr>
              <w:t>Result and any restriction</w:t>
            </w:r>
          </w:p>
        </w:tc>
        <w:bookmarkStart w:id="37" w:name="Result and any restriction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333BF89E">
            <w:pPr>
              <w:spacing w:before="33" w:after="33" w:line="240" w:lineRule="auto"/>
              <w:jc w:val="left"/>
            </w:pPr>
            <w:r>
              <w:rPr>
                <w:rFonts w:ascii="Calibri" w:hAnsi="Calibri" w:eastAsia="Calibri"/>
                <w:color w:val="212121"/>
                <w:sz w:val="17"/>
              </w:rPr>
              <w:t> </w:t>
            </w:r>
            <w:bookmarkEnd w:id="37"/>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5185EEB">
            <w:pPr>
              <w:spacing w:before="33" w:after="33" w:line="240" w:lineRule="auto"/>
              <w:jc w:val="left"/>
            </w:pPr>
            <w:r>
              <w:rPr>
                <w:rFonts w:ascii="Calibri" w:hAnsi="Calibri" w:eastAsia="Calibri"/>
                <w:color w:val="212121"/>
                <w:sz w:val="17"/>
              </w:rPr>
              <w:t>Tester signature and date</w:t>
            </w:r>
          </w:p>
        </w:tc>
        <w:bookmarkStart w:id="38" w:name="Tester signature and date_01"/>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BF5153A">
            <w:pPr>
              <w:spacing w:before="33" w:after="33" w:line="240" w:lineRule="auto"/>
              <w:jc w:val="left"/>
            </w:pPr>
            <w:r>
              <w:rPr>
                <w:rFonts w:ascii="Calibri" w:hAnsi="Calibri" w:eastAsia="Calibri"/>
                <w:color w:val="212121"/>
                <w:sz w:val="17"/>
              </w:rPr>
              <w:t> </w:t>
            </w:r>
            <w:bookmarkEnd w:id="38"/>
          </w:p>
        </w:tc>
      </w:tr>
    </w:tbl>
    <w:p w14:paraId="6005AAEB">
      <w:pPr>
        <w:pStyle w:val="00000a"/>
        <w:pBdr>
          <w:bottom w:val="single" w:color="1565C0" w:sz="9" w:space="0"/>
        </w:pBdr>
        <w:spacing w:before="400" w:after="160" w:line="300" w:lineRule="auto"/>
        <w:jc w:val="left"/>
      </w:pPr>
      <w:bookmarkStart w:id="39" w:name="section-17"/>
      <w:bookmarkEnd w:id="39"/>
      <w:r>
        <w:rPr>
          <w:rFonts w:ascii="Arial" w:hAnsi="Arial"/>
          <w:b w:val="1"/>
          <w:color w:val="14243F"/>
          <w:sz w:val="30"/>
        </w:rPr>
        <w:t>Appendix B — Abbreviations</w:t>
      </w:r>
    </w:p>
    <w:tbl>
      <w:tblPr>
        <w:tblW w:w="5000" w:type="pct"/>
        <w:tblLayout w:type="autofit"/>
        <w:tblLook w:firstRow="1" w:lastRow="0" w:firstColumn="1" w:lastColumn="0" w:noHBand="0" w:noVBand="1" w:val="04A0"/>
      </w:tblPr>
      <w:tblGrid>
        <w:gridCol w:w="4320"/>
        <w:gridCol w:w="4320"/>
      </w:tblGrid>
      <w:tr>
        <w:trPr/>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5BC43B60">
            <w:pPr>
              <w:spacing w:before="42" w:after="42" w:line="240" w:lineRule="auto"/>
              <w:jc w:val="left"/>
            </w:pPr>
            <w:r>
              <w:rPr>
                <w:rFonts w:ascii="Arial" w:hAnsi="Arial" w:eastAsia="Arial"/>
                <w:b w:val="1"/>
                <w:color w:val="14243F"/>
                <w:sz w:val="17"/>
              </w:rPr>
              <w:t>Term</w:t>
            </w:r>
          </w:p>
        </w:tc>
        <w:tc>
          <w:tcPr>
            <w:tcW w:w="4320" w:type="dxa"/>
            <w:tcBorders>
              <w:top w:val="single" w:color="D5DCE5" w:sz="4" w:space="0"/>
              <w:left w:val="single" w:color="D5DCE5" w:sz="4" w:space="0"/>
              <w:bottom w:val="single" w:color="D5DCE5" w:sz="4" w:space="0"/>
              <w:right w:val="single" w:color="D5DCE5" w:sz="4" w:space="0"/>
            </w:tcBorders>
            <w:shd w:val="clear" w:color="auto" w:fill="E9EFF7"/>
            <w:tcMar>
              <w:top w:w="80" w:type="dxa"/>
              <w:left w:w="100" w:type="dxa"/>
              <w:bottom w:w="80" w:type="dxa"/>
              <w:right w:w="100" w:type="dxa"/>
            </w:tcMar>
            <w:vAlign w:val="center"/>
          </w:tcPr>
          <w:p w14:paraId="2BD283F2">
            <w:pPr>
              <w:spacing w:before="42" w:after="42" w:line="240" w:lineRule="auto"/>
              <w:jc w:val="left"/>
            </w:pPr>
            <w:r>
              <w:rPr>
                <w:rFonts w:ascii="Arial" w:hAnsi="Arial" w:eastAsia="Arial"/>
                <w:b w:val="1"/>
                <w:color w:val="14243F"/>
                <w:sz w:val="17"/>
              </w:rPr>
              <w:t>Meaning</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6A86085">
            <w:pPr>
              <w:spacing w:before="33" w:after="33" w:line="240" w:lineRule="auto"/>
              <w:jc w:val="left"/>
            </w:pPr>
            <w:r>
              <w:rPr>
                <w:rFonts w:ascii="Calibri" w:hAnsi="Calibri" w:eastAsia="Calibri"/>
                <w:color w:val="212121"/>
                <w:sz w:val="17"/>
              </w:rPr>
              <w:t>AM / AI / AU</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1986F4D">
            <w:pPr>
              <w:spacing w:before="33" w:after="33" w:line="240" w:lineRule="auto"/>
              <w:jc w:val="left"/>
            </w:pPr>
            <w:r>
              <w:rPr>
                <w:rFonts w:ascii="Calibri" w:hAnsi="Calibri" w:eastAsia="Calibri"/>
                <w:color w:val="212121"/>
                <w:sz w:val="17"/>
              </w:rPr>
              <w:t>As manufactured / as installed / as used</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6FD6F2B">
            <w:pPr>
              <w:spacing w:before="33" w:after="33" w:line="240" w:lineRule="auto"/>
              <w:jc w:val="left"/>
            </w:pPr>
            <w:r>
              <w:rPr>
                <w:rFonts w:ascii="Calibri" w:hAnsi="Calibri" w:eastAsia="Calibri"/>
                <w:color w:val="212121"/>
                <w:sz w:val="17"/>
              </w:rPr>
              <w:t>CAV / VAV</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35194A7">
            <w:pPr>
              <w:spacing w:before="33" w:after="33" w:line="240" w:lineRule="auto"/>
              <w:jc w:val="left"/>
            </w:pPr>
            <w:r>
              <w:rPr>
                <w:rFonts w:ascii="Calibri" w:hAnsi="Calibri" w:eastAsia="Calibri"/>
                <w:color w:val="212121"/>
                <w:sz w:val="17"/>
              </w:rPr>
              <w:t>Constant air volume / variable air volume</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5DBDD0A2">
            <w:pPr>
              <w:spacing w:before="33" w:after="33" w:line="240" w:lineRule="auto"/>
              <w:jc w:val="left"/>
            </w:pPr>
            <w:r>
              <w:rPr>
                <w:rFonts w:ascii="Calibri" w:hAnsi="Calibri" w:eastAsia="Calibri"/>
                <w:color w:val="212121"/>
                <w:sz w:val="17"/>
              </w:rPr>
              <w:t>LEV</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E4428B7">
            <w:pPr>
              <w:spacing w:before="33" w:after="33" w:line="240" w:lineRule="auto"/>
              <w:jc w:val="left"/>
            </w:pPr>
            <w:r>
              <w:rPr>
                <w:rFonts w:ascii="Calibri" w:hAnsi="Calibri" w:eastAsia="Calibri"/>
                <w:color w:val="212121"/>
                <w:sz w:val="17"/>
              </w:rPr>
              <w:t>Local exhaust ventilation</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E5E712B">
            <w:pPr>
              <w:spacing w:before="33" w:after="33" w:line="240" w:lineRule="auto"/>
              <w:jc w:val="left"/>
            </w:pPr>
            <w:r>
              <w:rPr>
                <w:rFonts w:ascii="Calibri" w:hAnsi="Calibri" w:eastAsia="Calibri"/>
                <w:color w:val="212121"/>
                <w:sz w:val="17"/>
              </w:rPr>
              <w:t>RA-Max</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769AE5B">
            <w:pPr>
              <w:spacing w:before="33" w:after="33" w:line="240" w:lineRule="auto"/>
              <w:jc w:val="left"/>
            </w:pPr>
            <w:r>
              <w:rPr>
                <w:rFonts w:ascii="Calibri" w:hAnsi="Calibri" w:eastAsia="Calibri"/>
                <w:color w:val="212121"/>
                <w:sz w:val="17"/>
              </w:rPr>
              <w:t>Maximum 45 s rolling average, sash movement test</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1D6BF36">
            <w:pPr>
              <w:spacing w:before="33" w:after="33" w:line="240" w:lineRule="auto"/>
              <w:jc w:val="left"/>
            </w:pPr>
            <w:r>
              <w:rPr>
                <w:rFonts w:ascii="Calibri" w:hAnsi="Calibri" w:eastAsia="Calibri"/>
                <w:color w:val="212121"/>
                <w:sz w:val="17"/>
              </w:rPr>
              <w:t>SF₆</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E85CAA6">
            <w:pPr>
              <w:spacing w:before="33" w:after="33" w:line="240" w:lineRule="auto"/>
              <w:jc w:val="left"/>
            </w:pPr>
            <w:r>
              <w:rPr>
                <w:rFonts w:ascii="Calibri" w:hAnsi="Calibri" w:eastAsia="Calibri"/>
                <w:color w:val="212121"/>
                <w:sz w:val="17"/>
              </w:rPr>
              <w:t>Sulphur hexafluoride, tracer gas</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6CD2AAB2">
            <w:pPr>
              <w:spacing w:before="33" w:after="33" w:line="240" w:lineRule="auto"/>
              <w:jc w:val="left"/>
            </w:pPr>
            <w:r>
              <w:rPr>
                <w:rFonts w:ascii="Calibri" w:hAnsi="Calibri" w:eastAsia="Calibri"/>
                <w:color w:val="212121"/>
                <w:sz w:val="17"/>
              </w:rPr>
              <w:t>TiCl₄</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467E7542">
            <w:pPr>
              <w:spacing w:before="33" w:after="33" w:line="240" w:lineRule="auto"/>
              <w:jc w:val="left"/>
            </w:pPr>
            <w:r>
              <w:rPr>
                <w:rFonts w:ascii="Calibri" w:hAnsi="Calibri" w:eastAsia="Calibri"/>
                <w:color w:val="212121"/>
                <w:sz w:val="17"/>
              </w:rPr>
              <w:t>Titanium tetrachloride, visualisation smoke source</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2D66CD6">
            <w:pPr>
              <w:spacing w:before="33" w:after="33" w:line="240" w:lineRule="auto"/>
              <w:jc w:val="left"/>
            </w:pPr>
            <w:r>
              <w:rPr>
                <w:rFonts w:ascii="Calibri" w:hAnsi="Calibri" w:eastAsia="Calibri"/>
                <w:color w:val="212121"/>
                <w:sz w:val="17"/>
              </w:rPr>
              <w:t>EC motor</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0998BD9F">
            <w:pPr>
              <w:spacing w:before="33" w:after="33" w:line="240" w:lineRule="auto"/>
              <w:jc w:val="left"/>
            </w:pPr>
            <w:r>
              <w:rPr>
                <w:rFonts w:ascii="Calibri" w:hAnsi="Calibri" w:eastAsia="Calibri"/>
                <w:color w:val="212121"/>
                <w:sz w:val="17"/>
              </w:rPr>
              <w:t>Electronically commutated permanent-magnet motor</w:t>
            </w:r>
          </w:p>
        </w:tc>
      </w:tr>
      <w:tr>
        <w:trPr/>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7ED1A07C">
            <w:pPr>
              <w:spacing w:before="33" w:after="33" w:line="240" w:lineRule="auto"/>
              <w:jc w:val="left"/>
            </w:pPr>
            <w:r>
              <w:rPr>
                <w:rFonts w:ascii="Calibri" w:hAnsi="Calibri" w:eastAsia="Calibri"/>
                <w:color w:val="212121"/>
                <w:sz w:val="17"/>
              </w:rPr>
              <w:t>fpm</w:t>
            </w:r>
          </w:p>
        </w:tc>
        <w:tc>
          <w:tcPr>
            <w:tcW w:w="4320" w:type="dxa"/>
            <w:tcBorders>
              <w:top w:val="single" w:color="D5DCE5" w:sz="4" w:space="0"/>
              <w:left w:val="single" w:color="D5DCE5" w:sz="4" w:space="0"/>
              <w:bottom w:val="single" w:color="D5DCE5" w:sz="4" w:space="0"/>
              <w:right w:val="single" w:color="D5DCE5" w:sz="4" w:space="0"/>
            </w:tcBorders>
            <w:tcMar>
              <w:top w:w="60" w:type="dxa"/>
              <w:left w:w="100" w:type="dxa"/>
              <w:bottom w:w="60" w:type="dxa"/>
              <w:right w:w="100" w:type="dxa"/>
            </w:tcMar>
            <w:vAlign w:val="center"/>
          </w:tcPr>
          <w:p w14:paraId="1CA0BAA4">
            <w:pPr>
              <w:spacing w:before="33" w:after="33" w:line="240" w:lineRule="auto"/>
              <w:jc w:val="left"/>
            </w:pPr>
            <w:r>
              <w:rPr>
                <w:rFonts w:ascii="Calibri" w:hAnsi="Calibri" w:eastAsia="Calibri"/>
                <w:color w:val="212121"/>
                <w:sz w:val="17"/>
              </w:rPr>
              <w:t>Feet per minute; 100 fpm = 0.51 m/s</w:t>
            </w:r>
          </w:p>
        </w:tc>
      </w:tr>
    </w:tbl>
    <w:p w14:paraId="058558E6"/>
    <w:sectPr w:rsidRPr="0006063C" w:rsidR="00FC693F" w:rsidSect="00034616">
      <w:footerReference r:id="rId5" w:type="default"/>
      <w:pgSz w:w="11906" w:h="16838"/>
      <w:pgMar w:top="1361" w:right="1417" w:bottom="1247" w:left="1417" w:header="720" w:footer="720" w:gutter="0"/>
      <w:pgNumType w:start="1"/>
      <w:cols w:space="720"/>
      <w:docGrid w:linePitch="360"/>
    </w:sectPr>
  </w:body>
</w:document>
</file>

<file path=word/fontTable.xml><?xml version="1.0" encoding="utf-8"?>
<w:fonts xmlns:w="http://schemas.openxmlformats.org/wordprocessingml/2006/main">
  <w:font w:name="Cambria">
    <w:panose1 w:val="02040503050406030204"/>
    <w:charset w:val="00" w:characterSet="ISO-8859-1"/>
    <w:family w:val="auto"/>
    <w:pitch w:val="variable"/>
    <w:sig w:usb0="E00002FF" w:usb1="400004FF" w:usb2="00000000" w:usb3="00000000" w:csb0="0000019F" w:csb1="00000000"/>
  </w:font>
  <w:font w:name="Times New Roman">
    <w:panose1 w:val="02020603050405020304"/>
    <w:charset w:val="00" w:characterSet="ISO-8859-1"/>
    <w:family w:val="auto"/>
    <w:pitch w:val="variable"/>
    <w:sig w:usb0="E0002AFF" w:usb1="C0007841" w:usb2="00000009" w:usb3="00000000" w:csb0="000001FF" w:csb1="00000000"/>
  </w:font>
  <w:font w:name="Arial">
    <w:panose1 w:val="020B0604020202020204"/>
    <w:charset w:val="00" w:characterSet="ISO-8859-1"/>
    <w:family w:val="auto"/>
    <w:pitch w:val="variable"/>
    <w:sig w:usb0="E0002AFF" w:usb1="C0007843" w:usb2="00000009" w:usb3="00000000" w:csb0="000001FF" w:csb1="00000000"/>
  </w:font>
  <w:font w:name="Courier">
    <w:panose1 w:val="02000500000000000000"/>
    <w:charset w:val="00" w:characterSet="ISO-8859-1"/>
    <w:family w:val="auto"/>
    <w:pitch w:val="variable"/>
    <w:sig w:usb0="00000003" w:usb1="00000000" w:usb2="00000000" w:usb3="00000000" w:csb0="00000001" w:csb1="00000000"/>
  </w:font>
  <w:font w:name="Symbol">
    <w:panose1 w:val="00000000000000000000"/>
    <w:charset w:val="02" w:characterSet="ISO-8859-1"/>
    <w:family w:val="auto"/>
    <w:pitch w:val="variable"/>
    <w:sig w:usb0="00000000" w:usb1="10000000" w:usb2="00000000" w:usb3="00000000" w:csb0="80000000" w:csb1="00000000"/>
  </w:font>
  <w:font w:name="ＭＳ ゴシック">
    <w:panose1 w:val="00000000000000000000"/>
    <w:charset w:val="80" w:characterSet="ISO-8859-1"/>
    <w:family w:val="modern"/>
    <w:notTrueType w:val="1"/>
    <w:pitch w:val="fixed"/>
    <w:sig w:usb0="00000001" w:usb1="08070000" w:usb2="00000010" w:usb3="00000000" w:csb0="00020000" w:csb1="00000000"/>
  </w:font>
  <w:font w:name="Calibri">
    <w:panose1 w:val="020F0502020204030204"/>
    <w:charset w:val="00" w:characterSet="ISO-8859-1"/>
    <w:family w:val="auto"/>
    <w:pitch w:val="variable"/>
    <w:sig w:usb0="E10002FF" w:usb1="4000ACFF" w:usb2="00000009" w:usb3="00000000" w:csb0="0000019F" w:csb1="00000000"/>
  </w:font>
  <w:font w:name="ＭＳ 明朝">
    <w:panose1 w:val="00000000000000000000"/>
    <w:charset w:val="80" w:characterSet="ISO-8859-1"/>
    <w:family w:val="roman"/>
    <w:notTrueType w:val="1"/>
    <w:pitch w:val="fixed"/>
    <w:sig w:usb0="00000001" w:usb1="08070000" w:usb2="00000010" w:usb3="00000000" w:csb0="00020000" w:csb1="00000000"/>
  </w:font>
</w:fonts>
</file>

<file path=word/footer1.xml><?xml version="1.0" encoding="utf-8"?>
<w:ftr xmlns:w14="http://schemas.microsoft.com/office/word/2010/wordml" xmlns:w="http://schemas.openxmlformats.org/wordprocessingml/2006/main" xmlns:mc="http://schemas.openxmlformats.org/markup-compatibility/2006" mc:Ignorable="w14">
  <w:p w14:paraId="7CBAC988">
    <w:pPr>
      <w:pStyle w:val="000006"/>
      <w:tabs>
        <w:tab w:val="center" w:pos="4536"/>
        <w:tab w:val="right" w:pos="9072"/>
      </w:tabs>
    </w:pPr>
    <w:r>
      <w:tab/>
    </w:r>
    <w:r>
      <w:fldChar w:fldCharType="begin" w:fldLock="0" w:dirty="0"/>
    </w:r>
    <w:r>
      <w:instrText>PAGE</w:instrText>
    </w:r>
    <w:r>
      <w:fldChar w:fldCharType="separate" w:fldLock="0" w:dirty="0"/>
    </w:r>
    <w:r>
      <w:fldChar w:fldCharType="end" w:fldLock="0" w:dirty="0"/>
    </w:r>
    <w:r>
      <w:tab/>
    </w:r>
  </w:p>
</w:ftr>
</file>

<file path=word/numbering.xml><?xml version="1.0" encoding="utf-8"?>
<w:numbering xmlns:w="http://schemas.openxmlformats.org/wordprocessingml/2006/main">
  <w:abstractNum w:abstractNumId="0">
    <w:nsid w:val="FFFFFF7E"/>
    <w:multiLevelType w:val="singleLevel"/>
    <w:tmpl w:val="FB12693A"/>
    <w:lvl w:ilvl="0">
      <w:start w:val="1"/>
      <w:numFmt w:val="decimal"/>
      <w:pStyle w:val="000036"/>
      <w:lvlText w:val="%1."/>
      <w:lvlJc w:val="left"/>
      <w:pPr>
        <w:tabs>
          <w:tab w:val="num" w:pos="1080"/>
        </w:tabs>
        <w:ind w:left="1080" w:hanging="360"/>
      </w:pPr>
    </w:lvl>
  </w:abstractNum>
  <w:abstractNum w:abstractNumId="1">
    <w:nsid w:val="FFFFFF88"/>
    <w:multiLevelType w:val="singleLevel"/>
    <w:tmpl w:val="D0A62B40"/>
    <w:lvl w:ilvl="0">
      <w:start w:val="1"/>
      <w:numFmt w:val="decimal"/>
      <w:pStyle w:val="000032"/>
      <w:lvlText w:val="%1."/>
      <w:lvlJc w:val="left"/>
      <w:pPr>
        <w:tabs>
          <w:tab w:val="num" w:pos="360"/>
        </w:tabs>
        <w:ind w:left="360" w:hanging="360"/>
      </w:pPr>
    </w:lvl>
  </w:abstractNum>
  <w:abstractNum w:abstractNumId="2">
    <w:nsid w:val="FFFFFF83"/>
    <w:multiLevelType w:val="singleLevel"/>
    <w:tmpl w:val="3D1EFFD4"/>
    <w:lvl w:ilvl="0">
      <w:start w:val="1"/>
      <w:numFmt w:val="bullet"/>
      <w:pStyle w:val="00002e"/>
      <w:lvlText w:val=""/>
      <w:lvlJc w:val="left"/>
      <w:pPr>
        <w:tabs>
          <w:tab w:val="num" w:pos="720"/>
        </w:tabs>
        <w:ind w:left="720" w:hanging="360"/>
      </w:pPr>
      <w:rPr>
        <w:rFonts w:hint="default" w:ascii="Symbol" w:hAnsi="Symbol"/>
      </w:rPr>
    </w:lvl>
  </w:abstractNum>
  <w:abstractNum w:abstractNumId="3">
    <w:nsid w:val="FFFFFF7F"/>
    <w:multiLevelType w:val="singleLevel"/>
    <w:tmpl w:val="38441652"/>
    <w:lvl w:ilvl="0">
      <w:start w:val="1"/>
      <w:numFmt w:val="decimal"/>
      <w:pStyle w:val="000034"/>
      <w:lvlText w:val="%1."/>
      <w:lvlJc w:val="left"/>
      <w:pPr>
        <w:tabs>
          <w:tab w:val="num" w:pos="720"/>
        </w:tabs>
        <w:ind w:left="720" w:hanging="360"/>
      </w:pPr>
    </w:lvl>
  </w:abstractNum>
  <w:abstractNum w:abstractNumId="4">
    <w:nsid w:val="FFFFFF82"/>
    <w:multiLevelType w:val="singleLevel"/>
    <w:tmpl w:val="F3EAFDEC"/>
    <w:lvl w:ilvl="0">
      <w:start w:val="1"/>
      <w:numFmt w:val="bullet"/>
      <w:pStyle w:val="000030"/>
      <w:lvlText w:val=""/>
      <w:lvlJc w:val="left"/>
      <w:pPr>
        <w:tabs>
          <w:tab w:val="num" w:pos="1080"/>
        </w:tabs>
        <w:ind w:left="1080" w:hanging="360"/>
      </w:pPr>
      <w:rPr>
        <w:rFonts w:hint="default" w:ascii="Symbol" w:hAnsi="Symbol"/>
      </w:rPr>
    </w:lvl>
  </w:abstractNum>
  <w:abstractNum w:abstractNumId="5">
    <w:nsid w:val="FFFFFF89"/>
    <w:multiLevelType w:val="singleLevel"/>
    <w:tmpl w:val="29761A62"/>
    <w:lvl w:ilvl="0">
      <w:start w:val="1"/>
      <w:numFmt w:val="bullet"/>
      <w:pStyle w:val="00002c"/>
      <w:lvlText w:val=""/>
      <w:lvlJc w:val="left"/>
      <w:pPr>
        <w:tabs>
          <w:tab w:val="num" w:pos="360"/>
        </w:tabs>
        <w:ind w:left="360" w:hanging="360"/>
      </w:pPr>
      <w:rPr>
        <w:rFonts w:hint="default" w:ascii="Symbol" w:hAnsi="Symbol"/>
      </w:rPr>
    </w:lvl>
  </w:abstractNum>
  <w:num w:numId="1">
    <w:abstractNumId w:val="1"/>
    <w:lvlOverride w:ilvl="0">
      <w:startOverride w:val="1"/>
    </w:lvlOverride>
  </w:num>
  <w:num w:numId="7">
    <w:abstractNumId w:val="1"/>
  </w:num>
  <w:num w:numId="3">
    <w:abstractNumId w:val="2"/>
  </w:num>
  <w:num w:numId="6">
    <w:abstractNumId w:val="0"/>
  </w:num>
  <w:num w:numId="8">
    <w:abstractNumId w:val="4"/>
  </w:num>
  <w:num w:numId="4">
    <w:abstractNumId w:val="3"/>
  </w:num>
  <w:num w:numId="2">
    <w:abstractNumId w:val="1"/>
    <w:lvlOverride w:ilvl="0">
      <w:startOverride w:val="1"/>
    </w:lvlOverride>
  </w:num>
  <w:num w:numId="5">
    <w:abstractNumId w:val="5"/>
  </w:num>
</w:numbering>
</file>

<file path=word/settings.xml><?xml version="1.0" encoding="utf-8"?>
<w:settings xmlns:w="http://schemas.openxmlformats.org/wordprocessingml/2006/main">
  <w:zoom w:val="bestFit"/>
  <w:proofState w:spelling="clean" w:grammar="clean"/>
  <w:defaultTabStop w:val="720"/>
  <w:characterSpacingControl w:val="doNotCompress"/>
  <w:savePreviewPicture w:val="1"/>
  <w:updateFields w:val="1"/>
  <w:compat>
    <w:useFELayout w:val="1"/>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1"/>
    <w:compatSetting w:name="compatibilityMode" w:uri="http://schemas.microsoft.com/office/word" w:val="14"/>
  </w:compat>
  <w:rsids>
    <w:rsidRoot w:val="00B47730"/>
    <w:rsid w:val="00034616"/>
    <w:rsid w:val="0006063C"/>
    <w:rsid w:val="0015074B"/>
    <w:rsid w:val="0029639D"/>
    <w:rsid w:val="00326F90"/>
    <w:rsid w:val="00AA1D8D"/>
    <w:rsid w:val="00B47730"/>
    <w:rsid w:val="00CB0664"/>
    <w:rsid w:val="00FC693F"/>
  </w:rsids>
  <w:themeFontLang w:val="en-US" w:eastAsia="ja-JP"/>
  <w:clrSchemeMapping w:bg1="light1" w:t1="dark1" w:bg2="light2" w:t2="dark2" w:accent1="accent1" w:accent2="accent2" w:accent3="accent3" w:accent4="accent4" w:accent5="accent5" w:accent6="accent6" w:hyperlink="hyperlink" w:followedHyperlink="followedHyperlink"/>
  <w:doNotAutoCompressPictures w:val="1"/>
  <w:decimalSymbol w:val="."/>
  <w:listSeparator w:val=","/>
</w:settings>
</file>

<file path=word/styles.xml><?xml version="1.0" encoding="utf-8"?>
<w:styles xmlns:w="http://schemas.openxmlformats.org/wordprocessingml/2006/main">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TOC Heading" w:uiPriority="39" w:qFormat="1"/>
    <w:lsdException w:name="Dark List Accent 1" w:uiPriority="70" w:semiHidden="0" w:unhideWhenUsed="0"/>
    <w:lsdException w:name="heading 6" w:uiPriority="9" w:qFormat="1"/>
    <w:lsdException w:name="Light Grid Accent 5" w:uiPriority="62" w:semiHidden="0" w:unhideWhenUsed="0"/>
    <w:lsdException w:name="Colorful List Accent 4" w:uiPriority="72" w:semiHidden="0" w:unhideWhenUsed="0"/>
    <w:lsdException w:name="Medium Grid 2 Accent 4" w:uiPriority="68" w:semiHidden="0" w:unhideWhenUsed="0"/>
    <w:lsdException w:name="Light List Accent 6" w:uiPriority="61" w:semiHidden="0" w:unhideWhenUsed="0"/>
    <w:lsdException w:name="caption" w:uiPriority="35" w:qFormat="1"/>
    <w:lsdException w:name="Medium Grid 3 Accent 1" w:uiPriority="69" w:semiHidden="0" w:unhideWhenUsed="0"/>
    <w:lsdException w:name="Medium Grid 3 Accent 5" w:uiPriority="69" w:semiHidden="0" w:unhideWhenUsed="0"/>
    <w:lsdException w:name="Medium Shading 1" w:uiPriority="63" w:semiHidden="0" w:unhideWhenUsed="0"/>
    <w:lsdException w:name="Medium List 2 Accent 1" w:uiPriority="66" w:semiHidden="0" w:unhideWhenUsed="0"/>
    <w:lsdException w:name="heading 3" w:uiPriority="9" w:qFormat="1"/>
    <w:lsdException w:name="Medium Shading 1 Accent 4" w:uiPriority="63" w:semiHidden="0" w:unhideWhenUsed="0"/>
    <w:lsdException w:name="heading 8" w:uiPriority="9" w:qFormat="1"/>
    <w:lsdException w:name="Light Shading Accent 4" w:uiPriority="60" w:semiHidden="0" w:unhideWhenUsed="0"/>
    <w:lsdException w:name="Medium Grid 1 Accent 6" w:uiPriority="67" w:semiHidden="0" w:unhideWhenUsed="0"/>
    <w:lsdException w:name="Medium List 2 Accent 4" w:uiPriority="66" w:semiHidden="0" w:unhideWhenUsed="0"/>
    <w:lsdException w:name="Colorful List Accent 3" w:uiPriority="72" w:semiHidden="0" w:unhideWhenUsed="0"/>
    <w:lsdException w:name="Medium List 2 Accent 2" w:uiPriority="66" w:semiHidden="0" w:unhideWhenUsed="0"/>
    <w:lsdException w:name="Light List Accent 3" w:uiPriority="61" w:semiHidden="0" w:unhideWhenUsed="0"/>
    <w:lsdException w:name="toc 9" w:uiPriority="39"/>
    <w:lsdException w:name="Colorful Grid Accent 2" w:uiPriority="73" w:semiHidden="0" w:unhideWhenUsed="0"/>
    <w:lsdException w:name="No Spacing" w:uiPriority="1" w:semiHidden="0" w:unhideWhenUsed="0" w:qFormat="1"/>
    <w:lsdException w:name="Colorful Shading Accent 6" w:uiPriority="71" w:semiHidden="0" w:unhideWhenUsed="0"/>
    <w:lsdException w:name="Intense Quote" w:uiPriority="30" w:semiHidden="0" w:unhideWhenUsed="0" w:qFormat="1"/>
    <w:lsdException w:name="Light List Accent 4" w:uiPriority="61" w:semiHidden="0" w:unhideWhenUsed="0"/>
    <w:lsdException w:name="heading 9" w:uiPriority="9" w:qFormat="1"/>
    <w:lsdException w:name="Colorful Grid" w:uiPriority="73" w:semiHidden="0" w:unhideWhenUsed="0"/>
    <w:lsdException w:name="Light Grid Accent 2" w:uiPriority="62" w:semiHidden="0" w:unhideWhenUsed="0"/>
    <w:lsdException w:name="heading 2" w:uiPriority="9" w:qFormat="1"/>
    <w:lsdException w:name="Colorful Grid Accent 1" w:uiPriority="73" w:semiHidden="0" w:unhideWhenUsed="0"/>
    <w:lsdException w:name="heading 5" w:uiPriority="9" w:qFormat="1"/>
    <w:lsdException w:name="Book Title" w:uiPriority="33" w:semiHidden="0" w:unhideWhenUsed="0" w:qFormat="1"/>
    <w:lsdException w:name="Light Shading Accent 3" w:uiPriority="60" w:semiHidden="0" w:unhideWhenUsed="0"/>
    <w:lsdException w:name="Colorful Shading" w:uiPriority="71" w:semiHidden="0" w:unhideWhenUsed="0"/>
    <w:lsdException w:name="Medium List 1 Accent 3" w:uiPriority="65" w:semiHidden="0" w:unhideWhenUsed="0"/>
    <w:lsdException w:name="Medium List 2 Accent 5" w:uiPriority="66" w:semiHidden="0" w:unhideWhenUsed="0"/>
    <w:lsdException w:name="Medium Grid 2 Accent 2" w:uiPriority="68" w:semiHidden="0" w:unhideWhenUsed="0"/>
    <w:lsdException w:name="Medium Grid 2 Accent 1" w:uiPriority="68" w:semiHidden="0" w:unhideWhenUsed="0"/>
    <w:lsdException w:name="Dark List Accent 2" w:uiPriority="70" w:semiHidden="0" w:unhideWhenUsed="0"/>
    <w:lsdException w:name="Light List Accent 1" w:uiPriority="61" w:semiHidden="0" w:unhideWhenUsed="0"/>
    <w:lsdException w:name="Medium Shading 1 Accent 2" w:uiPriority="63" w:semiHidden="0" w:unhideWhenUsed="0"/>
    <w:lsdException w:name="Colorful Grid Accent 6" w:uiPriority="73" w:semiHidden="0" w:unhideWhenUsed="0"/>
    <w:lsdException w:name="toc 7" w:uiPriority="39"/>
    <w:lsdException w:name="Colorful Shading Accent 5" w:uiPriority="71" w:semiHidden="0" w:unhideWhenUsed="0"/>
    <w:lsdException w:name="Default Paragraph Font" w:uiPriority="1"/>
    <w:lsdException w:name="Medium Shading 2 Accent 6" w:uiPriority="64" w:semiHidden="0" w:unhideWhenUsed="0"/>
    <w:lsdException w:name="Medium Grid 1 Accent 1" w:uiPriority="67" w:semiHidden="0" w:unhideWhenUsed="0"/>
    <w:lsdException w:name="Medium Shading 2 Accent 2" w:uiPriority="64" w:semiHidden="0" w:unhideWhenUsed="0"/>
    <w:lsdException w:name="toc 6" w:uiPriority="39"/>
    <w:lsdException w:name="heading 1" w:uiPriority="9" w:semiHidden="0" w:unhideWhenUsed="0" w:qFormat="1"/>
    <w:lsdException w:name="Light Shading Accent 1" w:uiPriority="60" w:semiHidden="0" w:unhideWhenUsed="0"/>
    <w:lsdException w:name="Subtle Reference" w:uiPriority="31" w:semiHidden="0" w:unhideWhenUsed="0" w:qFormat="1"/>
    <w:lsdException w:name="Light Grid Accent 3" w:uiPriority="62" w:semiHidden="0" w:unhideWhenUsed="0"/>
    <w:lsdException w:name="Light Grid" w:uiPriority="62" w:semiHidden="0" w:unhideWhenUsed="0"/>
    <w:lsdException w:name="Medium Grid 2 Accent 3" w:uiPriority="68" w:semiHidden="0" w:unhideWhenUsed="0"/>
    <w:lsdException w:name="Colorful List Accent 6" w:uiPriority="72" w:semiHidden="0" w:unhideWhenUsed="0"/>
    <w:lsdException w:name="Medium List 2 Accent 3" w:uiPriority="66" w:semiHidden="0" w:unhideWhenUsed="0"/>
    <w:lsdException w:name="Light List Accent 2" w:uiPriority="61" w:semiHidden="0" w:unhideWhenUsed="0"/>
    <w:lsdException w:name="Medium Shading 1 Accent 6" w:uiPriority="63" w:semiHidden="0" w:unhideWhenUsed="0"/>
    <w:lsdException w:name="Intense Emphasis" w:uiPriority="21" w:semiHidden="0" w:unhideWhenUsed="0" w:qFormat="1"/>
    <w:lsdException w:name="Table Grid" w:uiPriority="59" w:semiHidden="0" w:unhideWhenUsed="0"/>
    <w:lsdException w:name="Dark List Accent 3" w:uiPriority="70" w:semiHidden="0" w:unhideWhenUsed="0"/>
    <w:lsdException w:name="Light List" w:uiPriority="61" w:semiHidden="0" w:unhideWhenUsed="0"/>
    <w:lsdException w:name="Medium Grid 3 Accent 6" w:uiPriority="69" w:semiHidden="0" w:unhideWhenUsed="0"/>
    <w:lsdException w:name="toc 2" w:uiPriority="39"/>
    <w:lsdException w:name="Colorful Grid Accent 4" w:uiPriority="73" w:semiHidden="0" w:unhideWhenUsed="0"/>
    <w:lsdException w:name="Light Shading Accent 2" w:uiPriority="60" w:semiHidden="0" w:unhideWhenUsed="0"/>
    <w:lsdException w:name="Normal" w:uiPriority="0" w:semiHidden="0" w:unhideWhenUsed="0" w:qFormat="1"/>
    <w:lsdException w:name="Medium List 2 Accent 6" w:uiPriority="66" w:semiHidden="0" w:unhideWhenUsed="0"/>
    <w:lsdException w:name="toc 4" w:uiPriority="39"/>
    <w:lsdException w:name="Medium Grid 3 Accent 2" w:uiPriority="69" w:semiHidden="0" w:unhideWhenUsed="0"/>
    <w:lsdException w:name="Medium Shading 2 Accent 1" w:uiPriority="64" w:semiHidden="0" w:unhideWhenUsed="0"/>
    <w:lsdException w:name="Colorful Shading Accent 1" w:uiPriority="71" w:semiHidden="0" w:unhideWhenUsed="0"/>
    <w:lsdException w:name="Light Grid Accent 6" w:uiPriority="62" w:semiHidden="0" w:unhideWhenUsed="0"/>
    <w:lsdException w:name="toc 5" w:uiPriority="39"/>
    <w:lsdException w:name="Colorful List" w:uiPriority="72" w:semiHidden="0" w:unhideWhenUsed="0"/>
    <w:lsdException w:name="Medium Grid 1 Accent 3" w:uiPriority="67" w:semiHidden="0" w:unhideWhenUsed="0"/>
    <w:lsdException w:name="Light Shading Accent 6" w:uiPriority="60" w:semiHidden="0" w:unhideWhenUsed="0"/>
    <w:lsdException w:name="Medium Grid 2" w:uiPriority="68" w:semiHidden="0" w:unhideWhenUsed="0"/>
    <w:lsdException w:name="Medium List 1 Accent 5" w:uiPriority="65" w:semiHidden="0" w:unhideWhenUsed="0"/>
    <w:lsdException w:name="Emphasis" w:uiPriority="20" w:semiHidden="0" w:unhideWhenUsed="0" w:qFormat="1"/>
    <w:lsdException w:name="Medium Grid 1 Accent 5" w:uiPriority="67" w:semiHidden="0" w:unhideWhenUsed="0"/>
    <w:lsdException w:name="Medium Grid 1 Accent 2" w:uiPriority="67" w:semiHidden="0" w:unhideWhenUsed="0"/>
    <w:lsdException w:name="Placeholder Text" w:unhideWhenUsed="0"/>
    <w:lsdException w:name="heading 7" w:uiPriority="9" w:qFormat="1"/>
    <w:lsdException w:name="Medium Shading 1 Accent 5" w:uiPriority="63" w:semiHidden="0" w:unhideWhenUsed="0"/>
    <w:lsdException w:name="Colorful List Accent 5" w:uiPriority="72" w:semiHidden="0" w:unhideWhenUsed="0"/>
    <w:lsdException w:name="Medium Grid 1" w:uiPriority="67" w:semiHidden="0" w:unhideWhenUsed="0"/>
    <w:lsdException w:name="Light Grid Accent 1" w:uiPriority="62" w:semiHidden="0" w:unhideWhenUsed="0"/>
    <w:lsdException w:name="Medium Shading 2 Accent 5" w:uiPriority="64" w:semiHidden="0" w:unhideWhenUsed="0"/>
    <w:lsdException w:name="Light Shading Accent 5" w:uiPriority="60" w:semiHidden="0" w:unhideWhenUsed="0"/>
    <w:lsdException w:name="Light Grid Accent 4" w:uiPriority="62" w:semiHidden="0" w:unhideWhenUsed="0"/>
    <w:lsdException w:name="Colorful List Accent 1" w:uiPriority="72" w:semiHidden="0" w:unhideWhenUsed="0"/>
    <w:lsdException w:name="Colorful Shading Accent 4" w:uiPriority="71" w:semiHidden="0" w:unhideWhenUsed="0"/>
    <w:lsdException w:name="toc 8" w:uiPriority="39"/>
    <w:lsdException w:name="List Paragraph" w:uiPriority="34" w:semiHidden="0" w:unhideWhenUsed="0" w:qFormat="1"/>
    <w:lsdException w:name="Medium Shading 2 Accent 3" w:uiPriority="64" w:semiHidden="0" w:unhideWhenUsed="0"/>
    <w:lsdException w:name="Medium Grid 2 Accent 5" w:uiPriority="68" w:semiHidden="0" w:unhideWhenUsed="0"/>
    <w:lsdException w:name="Colorful Shading Accent 2" w:uiPriority="71" w:semiHidden="0" w:unhideWhenUsed="0"/>
    <w:lsdException w:name="Subtle Emphasis" w:uiPriority="19" w:semiHidden="0" w:unhideWhenUsed="0" w:qFormat="1"/>
    <w:lsdException w:name="Revision" w:unhideWhenUsed="0"/>
    <w:lsdException w:name="Subtitle" w:uiPriority="11" w:semiHidden="0" w:unhideWhenUsed="0" w:qFormat="1"/>
    <w:lsdException w:name="Colorful Shading Accent 3" w:uiPriority="71" w:semiHidden="0" w:unhideWhenUsed="0"/>
    <w:lsdException w:name="Medium Grid 2 Accent 6" w:uiPriority="68" w:semiHidden="0" w:unhideWhenUsed="0"/>
    <w:lsdException w:name="Light Shading" w:uiPriority="60" w:semiHidden="0" w:unhideWhenUsed="0"/>
    <w:lsdException w:name="Light List Accent 5" w:uiPriority="61" w:semiHidden="0" w:unhideWhenUsed="0"/>
    <w:lsdException w:name="Medium List 1 Accent 4" w:uiPriority="65" w:semiHidden="0" w:unhideWhenUsed="0"/>
    <w:lsdException w:name="heading 4" w:uiPriority="9" w:qFormat="1"/>
    <w:lsdException w:name="Dark List Accent 5" w:uiPriority="70" w:semiHidden="0" w:unhideWhenUsed="0"/>
    <w:lsdException w:name="Colorful List Accent 2" w:uiPriority="72" w:semiHidden="0" w:unhideWhenUsed="0"/>
    <w:lsdException w:name="Medium List 1" w:uiPriority="65" w:semiHidden="0" w:unhideWhenUsed="0"/>
    <w:lsdException w:name="Dark List Accent 6" w:uiPriority="70" w:semiHidden="0" w:unhideWhenUsed="0"/>
    <w:lsdException w:name="Colorful Grid Accent 5" w:uiPriority="73" w:semiHidden="0" w:unhideWhenUsed="0"/>
    <w:lsdException w:name="Medium List 2" w:uiPriority="66" w:semiHidden="0" w:unhideWhenUsed="0"/>
    <w:lsdException w:name="Bibliography" w:uiPriority="37"/>
    <w:lsdException w:name="Colorful Grid Accent 3" w:uiPriority="73" w:semiHidden="0" w:unhideWhenUsed="0"/>
    <w:lsdException w:name="Dark List Accent 4" w:uiPriority="70" w:semiHidden="0" w:unhideWhenUsed="0"/>
    <w:lsdException w:name="Medium Shading 1 Accent 3" w:uiPriority="63" w:semiHidden="0" w:unhideWhenUsed="0"/>
    <w:lsdException w:name="Strong" w:uiPriority="22" w:semiHidden="0" w:unhideWhenUsed="0" w:qFormat="1"/>
    <w:lsdException w:name="Intense Reference" w:uiPriority="32" w:semiHidden="0" w:unhideWhenUsed="0" w:qFormat="1"/>
    <w:lsdException w:name="Medium Shading 1 Accent 1" w:uiPriority="63" w:semiHidden="0" w:unhideWhenUsed="0"/>
    <w:lsdException w:name="Medium List 1 Accent 2" w:uiPriority="65" w:semiHidden="0" w:unhideWhenUsed="0"/>
    <w:lsdException w:name="Medium Shading 2" w:uiPriority="64" w:semiHidden="0" w:unhideWhenUsed="0"/>
    <w:lsdException w:name="Medium Shading 2 Accent 4" w:uiPriority="64" w:semiHidden="0" w:unhideWhenUsed="0"/>
    <w:lsdException w:name="toc 3" w:uiPriority="39"/>
    <w:lsdException w:name="toc 1" w:uiPriority="39"/>
    <w:lsdException w:name="Medium List 1 Accent 6" w:uiPriority="65" w:semiHidden="0" w:unhideWhenUsed="0"/>
    <w:lsdException w:name="Medium Grid 3 Accent 4" w:uiPriority="69" w:semiHidden="0" w:unhideWhenUsed="0"/>
    <w:lsdException w:name="Title" w:uiPriority="10" w:semiHidden="0" w:unhideWhenUsed="0" w:qFormat="1"/>
    <w:lsdException w:name="Medium List 1 Accent 1" w:uiPriority="65" w:semiHidden="0" w:unhideWhenUsed="0"/>
    <w:lsdException w:name="Medium Grid 1 Accent 4" w:uiPriority="67" w:semiHidden="0" w:unhideWhenUsed="0"/>
    <w:lsdException w:name="Quote" w:uiPriority="29" w:semiHidden="0" w:unhideWhenUsed="0" w:qFormat="1"/>
    <w:lsdException w:name="Dark List" w:uiPriority="70" w:semiHidden="0" w:unhideWhenUsed="0"/>
    <w:lsdException w:name="Medium Grid 3 Accent 3" w:uiPriority="69" w:semiHidden="0" w:unhideWhenUsed="0"/>
    <w:lsdException w:name="Medium Grid 3" w:uiPriority="69" w:semiHidden="0" w:unhideWhenUsed="0"/>
  </w:latentStyles>
  <w:style w:type="table" w:styleId="00005c">
    <w:name w:val="Light Grid Accent 4"/>
    <w:basedOn w:val="00001a"/>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lastCol">
      <w:rPr>
        <w:rFonts w:asciiTheme="majorHAnsi" w:hAnsiTheme="majorHAnsi" w:eastAsiaTheme="majorEastAsia" w:cstheme="majorBidi"/>
        <w:b w:val="1"/>
        <w:bCs w:val="1"/>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firstCol">
      <w:rPr>
        <w:rFonts w:asciiTheme="majorHAnsi" w:hAnsiTheme="majorHAnsi" w:eastAsiaTheme="majorEastAsia" w:cstheme="majorBidi"/>
        <w:b w:val="1"/>
        <w:bCs w:val="1"/>
      </w:rPr>
    </w:tblStylePr>
    <w:tblStylePr w:type="firstRow">
      <w:pPr>
        <w:spacing w:before="0" w:after="0" w:line="240" w:lineRule="auto"/>
      </w:pPr>
      <w:rPr>
        <w:rFonts w:asciiTheme="majorHAnsi" w:hAnsiTheme="majorHAnsi" w:eastAsiaTheme="majorEastAsia" w:cstheme="majorBidi"/>
        <w:b w:val="1"/>
        <w:bCs w:val="1"/>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style>
  <w:style w:type="character" w:styleId="00003d" w:customStyle="1">
    <w:name w:val="Quote Char"/>
    <w:basedOn w:val="000005"/>
    <w:link w:val="00003c"/>
    <w:uiPriority w:val="29"/>
    <w:rsid w:val="00FC693F"/>
    <w:rPr>
      <w:i w:val="1"/>
      <w:iCs w:val="1"/>
      <w:color w:val="000000" w:themeColor="text1"/>
    </w:rPr>
  </w:style>
  <w:style w:type="paragraph" w:styleId="00003a">
    <w:name w:val="macro"/>
    <w:link w:val="00003b"/>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000084">
    <w:name w:val="Medium Grid 2 Accent 2"/>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nwCell">
      <w:tblPr/>
      <w:tcPr>
        <w:shd w:val="clear" w:color="auto" w:fill="FFFFFF" w:themeFill="background1"/>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band1Vert">
      <w:tblPr/>
      <w:tcPr>
        <w:shd w:val="clear" w:color="auto" w:fill="DFA7A6" w:themeFill="accent2" w:themeFillTint="7F"/>
      </w:tcPr>
    </w:tblStylePr>
    <w:tblStylePr w:type="firstRow">
      <w:rPr>
        <w:b w:val="1"/>
        <w:bCs w:val="1"/>
        <w:color w:val="000000" w:themeColor="text1"/>
      </w:rPr>
      <w:tblPr/>
      <w:tcPr>
        <w:shd w:val="clear" w:color="auto" w:fill="F8EDED" w:themeFill="accent2"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style>
  <w:style w:type="paragraph" w:styleId="00000a">
    <w:name w:val="heading 2"/>
    <w:basedOn w:val="000002"/>
    <w:next w:val="000002"/>
    <w:link w:val="00000b"/>
    <w:uiPriority w:val="9"/>
    <w:unhideWhenUsed w:val="1"/>
    <w:qFormat w:val="1"/>
    <w:rsid w:val="00FC693F"/>
    <w:pPr>
      <w:keepNext w:val="1"/>
      <w:keepLines w:val="1"/>
      <w:spacing w:before="200" w:after="0"/>
      <w:outlineLvl w:val="1"/>
    </w:pPr>
    <w:rPr>
      <w:rFonts w:asciiTheme="majorHAnsi" w:hAnsiTheme="majorHAnsi" w:eastAsiaTheme="majorEastAsia" w:cstheme="majorBidi"/>
      <w:b w:val="1"/>
      <w:bCs w:val="1"/>
      <w:color w:val="4F81BD" w:themeColor="accent1"/>
      <w:sz w:val="26"/>
      <w:szCs w:val="26"/>
    </w:rPr>
  </w:style>
  <w:style w:type="table" w:styleId="0000a8">
    <w:name w:val="Colorful Grid Accent 3"/>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val="1"/>
        <w:bCs w:val="1"/>
      </w:rPr>
      <w:tblPr/>
      <w:tcPr>
        <w:shd w:val="clear" w:color="auto" w:fill="D6E3BC" w:themeFill="accent3" w:themeFillTint="66"/>
      </w:tcPr>
    </w:tblStylePr>
    <w:tblStylePr w:type="band1Horz">
      <w:tblPr/>
      <w:tcPr>
        <w:shd w:val="clear" w:color="auto" w:fill="CDDDAC" w:themeFill="accent3" w:themeFillTint="7F"/>
      </w:tcPr>
    </w:tblStylePr>
    <w:tblStylePr w:type="band1Vert">
      <w:tblPr/>
      <w:tcPr>
        <w:shd w:val="clear" w:color="auto" w:fill="CDDDAC" w:themeFill="accent3" w:themeFillTint="7F"/>
      </w:tcPr>
    </w:tblStylePr>
    <w:tblStylePr w:type="lastCol">
      <w:rPr>
        <w:color w:val="FFFFFF" w:themeColor="background1"/>
      </w:rPr>
      <w:tblPr/>
      <w:tcPr>
        <w:shd w:val="clear" w:color="auto" w:fill="76923C" w:themeFill="accent3" w:themeFillShade="BF"/>
      </w:tcPr>
    </w:tblStylePr>
    <w:tblStylePr w:type="lastRow">
      <w:rPr>
        <w:b w:val="1"/>
        <w:bCs w:val="1"/>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style>
  <w:style w:type="table" w:styleId="000075">
    <w:name w:val="Medium List 2 Accent 1"/>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3DFEE" w:themeFill="accent1" w:themeFillTint="3F"/>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swCell">
      <w:tblPr/>
      <w:tcPr>
        <w:tcBorders>
          <w:top w:val="nil"/>
        </w:tcBorders>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nwCell">
      <w:tblPr/>
      <w:tcPr>
        <w:shd w:val="clear" w:color="auto" w:fill="FFFFFF" w:themeFill="background1"/>
      </w:tcPr>
    </w:tblStylePr>
    <w:tblStylePr w:type="band1Horz">
      <w:tblPr/>
      <w:tcPr>
        <w:tcBorders>
          <w:top w:val="nil"/>
          <w:bottom w:val="nil"/>
          <w:insideH w:val="nil"/>
          <w:insideV w:val="nil"/>
        </w:tcBorders>
        <w:shd w:val="clear" w:color="auto" w:fill="D3DFEE" w:themeFill="accent1" w:themeFillTint="3F"/>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style>
  <w:style w:type="table" w:styleId="000079">
    <w:name w:val="Medium List 2 Accent 5"/>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swCell">
      <w:tblPr/>
      <w:tcPr>
        <w:tcBorders>
          <w:top w:val="nil"/>
        </w:tcBorders>
      </w:tcPr>
    </w:tblStyle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nwCell">
      <w:tblPr/>
      <w:tcPr>
        <w:shd w:val="clear" w:color="auto" w:fill="FFFFFF" w:themeFill="background1"/>
      </w:tcPr>
    </w:tblStylePr>
    <w:tblStylePr w:type="band1Horz">
      <w:tblPr/>
      <w:tcPr>
        <w:tcBorders>
          <w:top w:val="nil"/>
          <w:bottom w:val="nil"/>
          <w:insideH w:val="nil"/>
          <w:insideV w:val="nil"/>
        </w:tcBorders>
        <w:shd w:val="clear" w:color="auto" w:fill="D2EAF1" w:themeFill="accent5" w:themeFillTint="3F"/>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style>
  <w:style w:type="table" w:styleId="000086">
    <w:name w:val="Medium Grid 2 Accent 4"/>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tblStylePr w:type="firstRow">
      <w:rPr>
        <w:b w:val="1"/>
        <w:bCs w:val="1"/>
        <w:color w:val="000000" w:themeColor="text1"/>
      </w:rPr>
      <w:tblPr/>
      <w:tcPr>
        <w:shd w:val="clear" w:color="auto" w:fill="F2EFF6" w:themeFill="accent4"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Vert">
      <w:tblPr/>
      <w:tcPr>
        <w:shd w:val="clear" w:color="auto" w:fill="BFB1D0" w:themeFill="accent4" w:themeFillTint="7F"/>
      </w:tcPr>
    </w:tblStylePr>
  </w:style>
  <w:style w:type="table" w:styleId="00001a" w:default="1">
    <w:name w:val="Normal Table"/>
    <w:uiPriority w:val="99"/>
    <w:semiHidden w:val="1"/>
    <w:unhideWhenUsed w:val="1"/>
    <w:tblPr>
      <w:tblInd w:w="0" w:type="dxa"/>
      <w:tblCellMar>
        <w:top w:w="0" w:type="dxa"/>
        <w:left w:w="108" w:type="dxa"/>
        <w:bottom w:w="0" w:type="dxa"/>
        <w:right w:w="108" w:type="dxa"/>
      </w:tblCellMar>
    </w:tblPr>
  </w:style>
  <w:style w:type="table" w:styleId="000097">
    <w:name w:val="Colorful Shading"/>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nwCell">
      <w:rPr>
        <w:color w:val="000000" w:themeColor="text1"/>
      </w:r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ne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000000" w:themeFill="text1" w:themeFillShade="99"/>
      </w:tcPr>
    </w:tblStylePr>
    <w:tblStylePr w:type="band1Vert">
      <w:tblPr/>
      <w:tcPr>
        <w:shd w:val="clear" w:color="auto" w:fill="999999" w:themeFill="text1" w:themeFillTint="66"/>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Horz">
      <w:tblPr/>
      <w:tcPr>
        <w:shd w:val="clear" w:color="auto" w:fill="808080" w:themeFill="text1" w:themeFillTint="7F"/>
      </w:tcPr>
    </w:tblStylePr>
  </w:style>
  <w:style w:type="table" w:styleId="00009f">
    <w:name w:val="Colorful List Accent 1"/>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lastCol">
      <w:rPr>
        <w:b w:val="1"/>
        <w:bCs w:val="1"/>
      </w:rPr>
    </w:tblStylePr>
    <w:tblStylePr w:type="firstCol">
      <w:rPr>
        <w:b w:val="1"/>
        <w:bCs w:val="1"/>
      </w:rPr>
    </w:tblStylePr>
    <w:tblStylePr w:type="band1Horz">
      <w:tblPr/>
      <w:tcPr>
        <w:shd w:val="clear" w:color="auto" w:fill="DBE5F1" w:themeFill="accent1" w:themeFillTint="33"/>
      </w:tcPr>
    </w:tblStylePr>
  </w:style>
  <w:style w:type="numbering" w:styleId="00001b" w:default="1">
    <w:name w:val="No List"/>
    <w:uiPriority w:val="99"/>
    <w:semiHidden w:val="1"/>
    <w:unhideWhenUsed w:val="1"/>
  </w:style>
  <w:style w:type="table" w:styleId="00007e">
    <w:name w:val="Medium Grid 1 Accent 3"/>
    <w:basedOn w:val="00001a"/>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Col">
      <w:rPr>
        <w:b w:val="1"/>
        <w:bCs w:val="1"/>
      </w:rPr>
    </w:tblStylePr>
    <w:tblStylePr w:type="band1Horz">
      <w:tblPr/>
      <w:tcPr>
        <w:shd w:val="clear" w:color="auto" w:fill="CDDDAC" w:themeFill="accent3" w:themeFillTint="7F"/>
      </w:tcPr>
    </w:tblStylePr>
    <w:tblStylePr w:type="band1Vert">
      <w:tblPr/>
      <w:tcPr>
        <w:shd w:val="clear" w:color="auto" w:fill="CDDDAC" w:themeFill="accent3" w:themeFillTint="7F"/>
      </w:tcPr>
    </w:tblStylePr>
    <w:tblStylePr w:type="firstRow">
      <w:rPr>
        <w:b w:val="1"/>
        <w:bCs w:val="1"/>
      </w:rPr>
    </w:tblStylePr>
    <w:tblStylePr w:type="lastRow">
      <w:rPr>
        <w:b w:val="1"/>
        <w:bCs w:val="1"/>
      </w:rPr>
      <w:tblPr/>
      <w:tcPr>
        <w:tcBorders>
          <w:top w:val="single" w:color="B3CC82" w:themeColor="accent3" w:themeTint="BF" w:sz="18" w:space="0"/>
        </w:tcBorders>
      </w:tcPr>
    </w:tblStylePr>
    <w:tblStylePr w:type="lastCol">
      <w:rPr>
        <w:b w:val="1"/>
        <w:bCs w:val="1"/>
      </w:rPr>
    </w:tblStylePr>
  </w:style>
  <w:style w:type="paragraph" w:styleId="000048">
    <w:name w:val="TOC Heading"/>
    <w:basedOn w:val="000008"/>
    <w:next w:val="000002"/>
    <w:uiPriority w:val="39"/>
    <w:semiHidden w:val="1"/>
    <w:unhideWhenUsed w:val="1"/>
    <w:qFormat w:val="1"/>
    <w:rsid w:val="00FC693F"/>
    <w:pPr>
      <w:outlineLvl w:val="9"/>
    </w:pPr>
  </w:style>
  <w:style w:type="table" w:styleId="00004d">
    <w:name w:val="Light Shading Accent 3"/>
    <w:basedOn w:val="00001a"/>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tblStylePr w:type="firstRow">
      <w:pPr>
        <w:spacing w:before="0" w:after="0" w:line="240" w:lineRule="auto"/>
      </w:pPr>
      <w:rPr>
        <w:b w:val="1"/>
        <w:bCs w:val="1"/>
      </w:rPr>
      <w:tblPr/>
      <w:tcPr>
        <w:tcBorders>
          <w:top w:val="single" w:color="9BBB59" w:themeColor="accent3" w:sz="8" w:space="0"/>
          <w:left w:val="nil"/>
          <w:bottom w:val="single" w:color="9BBB59" w:themeColor="accent3" w:sz="8" w:space="0"/>
          <w:right w:val="nil"/>
          <w:insideH w:val="nil"/>
          <w:insideV w:val="nil"/>
        </w:tcBorders>
      </w:tcPr>
    </w:tblStylePr>
    <w:tblStylePr w:type="lastCol">
      <w:rPr>
        <w:b w:val="1"/>
        <w:bCs w:val="1"/>
      </w:rPr>
    </w:tblStylePr>
    <w:tblStylePr w:type="lastRow">
      <w:pPr>
        <w:spacing w:before="0" w:after="0" w:line="240" w:lineRule="auto"/>
      </w:pPr>
      <w:rPr>
        <w:b w:val="1"/>
        <w:bCs w:val="1"/>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val="1"/>
        <w:bCs w:val="1"/>
      </w:rPr>
    </w:tblStylePr>
  </w:style>
  <w:style w:type="table" w:styleId="000073">
    <w:name w:val="Medium List 1 Accent 6"/>
    <w:basedOn w:val="00001a"/>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band1Horz">
      <w:tblPr/>
      <w:tcPr>
        <w:shd w:val="clear" w:color="auto" w:fill="FDE4D0" w:themeFill="accent6" w:themeFillTint="3F"/>
      </w:tcPr>
    </w:tblStylePr>
    <w:tblStylePr w:type="lastCol">
      <w:rPr>
        <w:b w:val="1"/>
        <w:bCs w:val="1"/>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firstCol">
      <w:rPr>
        <w:b w:val="1"/>
        <w:bCs w:val="1"/>
      </w:rPr>
    </w:tblStylePr>
    <w:tblStylePr w:type="lastRow">
      <w:rPr>
        <w:b w:val="1"/>
        <w:bCs w:val="1"/>
        <w:color w:val="1F497D" w:themeColor="text2"/>
      </w:rPr>
      <w:tblPr/>
      <w:tcPr>
        <w:tcBorders>
          <w:top w:val="single" w:color="F79646" w:themeColor="accent6" w:sz="8" w:space="0"/>
          <w:bottom w:val="single" w:color="F79646" w:themeColor="accent6" w:sz="8" w:space="0"/>
        </w:tcBorders>
      </w:tcPr>
    </w:tblStylePr>
  </w:style>
  <w:style w:type="table" w:styleId="000098">
    <w:name w:val="Colorful Shading Accent 1"/>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neCell">
      <w:rPr>
        <w:color w:val="000000" w:themeColor="text1"/>
      </w:r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Horz">
      <w:tblPr/>
      <w:tcPr>
        <w:shd w:val="clear" w:color="auto" w:fill="A7BFDE" w:themeFill="accent1" w:themeFillTint="7F"/>
      </w:tc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Row">
      <w:rPr>
        <w:b w:val="1"/>
        <w:bCs w:val="1"/>
        <w:color w:val="FFFFFF" w:themeColor="background1"/>
      </w:rPr>
      <w:tblPr/>
      <w:tcPr>
        <w:tcBorders>
          <w:top w:val="single" w:color="FFFFFF" w:themeColor="background1" w:sz="6" w:space="0"/>
        </w:tcBorders>
        <w:shd w:val="clear" w:color="auto" w:fill="2C4C74" w:themeFill="accent1" w:themeFillShade="99"/>
      </w:tcPr>
    </w:tblStylePr>
    <w:tblStylePr w:type="nwCell">
      <w:rPr>
        <w:color w:val="000000" w:themeColor="text1"/>
      </w:rPr>
    </w:tblStylePr>
    <w:tblStylePr w:type="band1Vert">
      <w:tblPr/>
      <w:tcPr>
        <w:shd w:val="clear" w:color="auto" w:fill="B8CCE4" w:themeFill="accent1" w:themeFillTint="66"/>
      </w:tcPr>
    </w:tblStylePr>
  </w:style>
  <w:style w:type="character" w:styleId="000046">
    <w:name w:val="Intense Reference"/>
    <w:basedOn w:val="000005"/>
    <w:uiPriority w:val="32"/>
    <w:qFormat w:val="1"/>
    <w:rsid w:val="00FC693F"/>
    <w:rPr>
      <w:b w:val="1"/>
      <w:bCs w:val="1"/>
      <w:smallCaps w:val="1"/>
      <w:color w:val="C0504D" w:themeColor="accent2"/>
      <w:spacing w:val="5"/>
      <w:u w:val="single"/>
    </w:rPr>
  </w:style>
  <w:style w:type="table" w:styleId="00007b">
    <w:name w:val="Medium Grid 1"/>
    <w:basedOn w:val="00001a"/>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val="1"/>
        <w:bCs w:val="1"/>
      </w:rPr>
    </w:tblStylePr>
    <w:tblStylePr w:type="lastCol">
      <w:rPr>
        <w:b w:val="1"/>
        <w:bCs w:val="1"/>
      </w:rPr>
    </w:tblStylePr>
    <w:tblStylePr w:type="band1Vert">
      <w:tblPr/>
      <w:tcPr>
        <w:shd w:val="clear" w:color="auto" w:fill="808080" w:themeFill="text1" w:themeFillTint="7F"/>
      </w:tcPr>
    </w:tblStylePr>
    <w:tblStylePr w:type="firstCol">
      <w:rPr>
        <w:b w:val="1"/>
        <w:bCs w:val="1"/>
      </w:rPr>
    </w:tblStylePr>
    <w:tblStylePr w:type="band1Horz">
      <w:tblPr/>
      <w:tcPr>
        <w:shd w:val="clear" w:color="auto" w:fill="808080" w:themeFill="text1" w:themeFillTint="7F"/>
      </w:tcPr>
    </w:tblStylePr>
    <w:tblStylePr w:type="lastRow">
      <w:rPr>
        <w:b w:val="1"/>
        <w:bCs w:val="1"/>
      </w:rPr>
      <w:tblPr/>
      <w:tcPr>
        <w:tcBorders>
          <w:top w:val="single" w:color="404040" w:themeColor="text1" w:themeTint="BF" w:sz="18" w:space="0"/>
        </w:tcBorders>
      </w:tcPr>
    </w:tblStylePr>
  </w:style>
  <w:style w:type="paragraph" w:styleId="000006">
    <w:name w:val="footer"/>
    <w:basedOn w:val="000002"/>
    <w:link w:val="000007"/>
    <w:uiPriority w:val="99"/>
    <w:unhideWhenUsed w:val="1"/>
    <w:rsid w:val="00E618BF"/>
    <w:pPr>
      <w:tabs>
        <w:tab w:val="center" w:pos="4680"/>
        <w:tab w:val="right" w:pos="9360"/>
      </w:tabs>
      <w:spacing w:after="0" w:line="240" w:lineRule="auto"/>
    </w:pPr>
  </w:style>
  <w:style w:type="character" w:styleId="000017" w:customStyle="1">
    <w:name w:val="Heading 8 Char"/>
    <w:basedOn w:val="000005"/>
    <w:link w:val="000016"/>
    <w:uiPriority w:val="9"/>
    <w:semiHidden w:val="1"/>
    <w:rsid w:val="00FC693F"/>
    <w:rPr>
      <w:rFonts w:asciiTheme="majorHAnsi" w:hAnsiTheme="majorHAnsi" w:eastAsiaTheme="majorEastAsia" w:cstheme="majorBidi"/>
      <w:color w:val="4F81BD" w:themeColor="accent1"/>
      <w:sz w:val="20"/>
      <w:szCs w:val="20"/>
    </w:rPr>
  </w:style>
  <w:style w:type="table" w:styleId="000080">
    <w:name w:val="Medium Grid 1 Accent 5"/>
    <w:basedOn w:val="00001a"/>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val="1"/>
        <w:bCs w:val="1"/>
      </w:rPr>
    </w:tblStylePr>
    <w:tblStylePr w:type="lastRow">
      <w:rPr>
        <w:b w:val="1"/>
        <w:bCs w:val="1"/>
      </w:rPr>
      <w:tblPr/>
      <w:tcPr>
        <w:tcBorders>
          <w:top w:val="single" w:color="78C0D4" w:themeColor="accent5" w:themeTint="BF" w:sz="18" w:space="0"/>
        </w:tcBorders>
      </w:tcPr>
    </w:tblStylePr>
    <w:tblStylePr w:type="band1Horz">
      <w:tblPr/>
      <w:tcPr>
        <w:shd w:val="clear" w:color="auto" w:fill="A5D5E2" w:themeFill="accent5" w:themeFillTint="7F"/>
      </w:tcPr>
    </w:tblStylePr>
    <w:tblStylePr w:type="firstCol">
      <w:rPr>
        <w:b w:val="1"/>
        <w:bCs w:val="1"/>
      </w:rPr>
    </w:tblStylePr>
    <w:tblStylePr w:type="lastCol">
      <w:rPr>
        <w:b w:val="1"/>
        <w:bCs w:val="1"/>
      </w:rPr>
    </w:tblStylePr>
    <w:tblStylePr w:type="band1Vert">
      <w:tblPr/>
      <w:tcPr>
        <w:shd w:val="clear" w:color="auto" w:fill="A5D5E2" w:themeFill="accent5" w:themeFillTint="7F"/>
      </w:tcPr>
    </w:tblStylePr>
  </w:style>
  <w:style w:type="character" w:styleId="000015" w:customStyle="1">
    <w:name w:val="Heading 7 Char"/>
    <w:basedOn w:val="000005"/>
    <w:link w:val="000014"/>
    <w:uiPriority w:val="9"/>
    <w:semiHidden w:val="1"/>
    <w:rsid w:val="00FC693F"/>
    <w:rPr>
      <w:rFonts w:asciiTheme="majorHAnsi" w:hAnsiTheme="majorHAnsi" w:eastAsiaTheme="majorEastAsia" w:cstheme="majorBidi"/>
      <w:i w:val="1"/>
      <w:iCs w:val="1"/>
      <w:color w:val="404040" w:themeColor="text1" w:themeTint="BF"/>
    </w:rPr>
  </w:style>
  <w:style w:type="table" w:styleId="00006f">
    <w:name w:val="Medium List 1 Accent 2"/>
    <w:basedOn w:val="00001a"/>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lastRow">
      <w:rPr>
        <w:b w:val="1"/>
        <w:bCs w:val="1"/>
        <w:color w:val="1F497D" w:themeColor="text2"/>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firstCol">
      <w:rPr>
        <w:b w:val="1"/>
        <w:bCs w:val="1"/>
      </w:rPr>
    </w:tblStylePr>
    <w:tblStylePr w:type="lastCol">
      <w:rPr>
        <w:b w:val="1"/>
        <w:bCs w:val="1"/>
      </w:rPr>
      <w:tblPr/>
      <w:tcPr>
        <w:tcBorders>
          <w:top w:val="single" w:color="C0504D" w:themeColor="accent2" w:sz="8" w:space="0"/>
          <w:bottom w:val="single" w:color="C0504D" w:themeColor="accent2" w:sz="8" w:space="0"/>
        </w:tcBorders>
      </w:tcPr>
    </w:tblStylePr>
  </w:style>
  <w:style w:type="paragraph" w:styleId="000021">
    <w:name w:val="List Paragraph"/>
    <w:basedOn w:val="000002"/>
    <w:uiPriority w:val="34"/>
    <w:qFormat w:val="1"/>
    <w:rsid w:val="00FC693F"/>
    <w:pPr>
      <w:ind w:left="720"/>
      <w:contextualSpacing w:val="1"/>
    </w:pPr>
  </w:style>
  <w:style w:type="character" w:styleId="00003b" w:customStyle="1">
    <w:name w:val="Macro Text Char"/>
    <w:basedOn w:val="000005"/>
    <w:link w:val="00003a"/>
    <w:uiPriority w:val="99"/>
    <w:rsid w:val="0029639D"/>
    <w:rPr>
      <w:rFonts w:ascii="Courier" w:hAnsi="Courier"/>
      <w:sz w:val="20"/>
      <w:szCs w:val="20"/>
    </w:rPr>
  </w:style>
  <w:style w:type="character" w:styleId="000009" w:customStyle="1">
    <w:name w:val="Heading 1 Char"/>
    <w:basedOn w:val="000005"/>
    <w:link w:val="000008"/>
    <w:uiPriority w:val="9"/>
    <w:rsid w:val="00FC693F"/>
    <w:rPr>
      <w:rFonts w:asciiTheme="majorHAnsi" w:hAnsiTheme="majorHAnsi" w:eastAsiaTheme="majorEastAsia" w:cstheme="majorBidi"/>
      <w:b w:val="1"/>
      <w:bCs w:val="1"/>
      <w:color w:val="365F91" w:themeColor="accent1" w:themeShade="BF"/>
      <w:sz w:val="28"/>
      <w:szCs w:val="28"/>
    </w:rPr>
  </w:style>
  <w:style w:type="paragraph" w:styleId="000002" w:default="1">
    <w:name w:val="Normal"/>
    <w:qFormat w:val="1"/>
    <w:rsid w:val="00FC693F"/>
  </w:style>
  <w:style w:type="paragraph" w:styleId="000024">
    <w:name w:val="Body Text 2"/>
    <w:basedOn w:val="000002"/>
    <w:link w:val="000025"/>
    <w:uiPriority w:val="99"/>
    <w:unhideWhenUsed w:val="1"/>
    <w:rsid w:val="00AA1D8D"/>
    <w:pPr>
      <w:spacing w:after="120" w:line="480" w:lineRule="auto"/>
    </w:pPr>
  </w:style>
  <w:style w:type="table" w:styleId="00004c">
    <w:name w:val="Light Shading Accent 2"/>
    <w:basedOn w:val="00001a"/>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EFD3D2" w:themeFill="accent2" w:themeFillTint="3F"/>
      </w:tcPr>
    </w:tblStylePr>
    <w:tblStylePr w:type="lastCol">
      <w:rPr>
        <w:b w:val="1"/>
        <w:bCs w:val="1"/>
      </w:rPr>
    </w:tblStylePr>
    <w:tblStylePr w:type="firstRow">
      <w:pPr>
        <w:spacing w:before="0" w:after="0" w:line="240" w:lineRule="auto"/>
      </w:pPr>
      <w:rPr>
        <w:b w:val="1"/>
        <w:bCs w:val="1"/>
      </w:rPr>
      <w:tblPr/>
      <w:tcPr>
        <w:tcBorders>
          <w:top w:val="single" w:color="C0504D" w:themeColor="accent2" w:sz="8" w:space="0"/>
          <w:left w:val="nil"/>
          <w:bottom w:val="single" w:color="C0504D" w:themeColor="accent2" w:sz="8" w:space="0"/>
          <w:right w:val="nil"/>
          <w:insideH w:val="nil"/>
          <w:insideV w:val="nil"/>
        </w:tcBorders>
      </w:tcPr>
    </w:tblStylePr>
    <w:tblStylePr w:type="band1Horz">
      <w:tblPr/>
      <w:tcPr>
        <w:tcBorders>
          <w:left w:val="nil"/>
          <w:right w:val="nil"/>
          <w:insideH w:val="nil"/>
          <w:insideV w:val="nil"/>
        </w:tcBorders>
        <w:shd w:val="clear" w:color="auto" w:fill="EFD3D2" w:themeFill="accent2" w:themeFillTint="3F"/>
      </w:tcPr>
    </w:tblStylePr>
    <w:tblStylePr w:type="lastRow">
      <w:pPr>
        <w:spacing w:before="0" w:after="0" w:line="240" w:lineRule="auto"/>
      </w:pPr>
      <w:rPr>
        <w:b w:val="1"/>
        <w:bCs w:val="1"/>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val="1"/>
        <w:bCs w:val="1"/>
      </w:rPr>
    </w:tblStylePr>
  </w:style>
  <w:style w:type="table" w:styleId="0000a2">
    <w:name w:val="Colorful List Accent 4"/>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lastRow">
      <w:rPr>
        <w:b w:val="1"/>
        <w:bCs w:val="1"/>
        <w:color w:val="7E9C40" w:themeColor="accent3" w:themeShade="CC"/>
      </w:rPr>
      <w:tblPr/>
      <w:tcPr>
        <w:tcBorders>
          <w:top w:val="single" w:color="000000" w:themeColor="text1" w:sz="12" w:space="0"/>
        </w:tcBorders>
        <w:shd w:val="clear" w:color="auto" w:fill="FFFFFF" w:themeFill="background1"/>
      </w:tcPr>
    </w:tblStylePr>
    <w:tblStylePr w:type="band1Horz">
      <w:tblPr/>
      <w:tcPr>
        <w:shd w:val="clear" w:color="auto" w:fill="E5DFEC" w:themeFill="accent4" w:themeFillTint="33"/>
      </w:tcPr>
    </w:tblStylePr>
    <w:tblStylePr w:type="lastCol">
      <w:rPr>
        <w:b w:val="1"/>
        <w:bCs w:val="1"/>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fir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7E9C40" w:themeFill="accent3" w:themeFillShade="CC"/>
      </w:tcPr>
    </w:tblStylePr>
  </w:style>
  <w:style w:type="character" w:styleId="000023" w:customStyle="1">
    <w:name w:val="Body Text Char"/>
    <w:basedOn w:val="000005"/>
    <w:link w:val="000022"/>
    <w:uiPriority w:val="99"/>
    <w:rsid w:val="00AA1D8D"/>
  </w:style>
  <w:style w:type="table" w:styleId="0000a9">
    <w:name w:val="Colorful Grid Accent 4"/>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lastRow">
      <w:rPr>
        <w:b w:val="1"/>
        <w:bCs w:val="1"/>
        <w:color w:val="000000" w:themeColor="text1"/>
      </w:rPr>
      <w:tblPr/>
      <w:tcPr>
        <w:shd w:val="clear" w:color="auto" w:fill="CCC0D9" w:themeFill="accent4" w:themeFillTint="66"/>
      </w:tcPr>
    </w:tblStylePr>
    <w:tblStylePr w:type="band1Vert">
      <w:tblPr/>
      <w:tcPr>
        <w:shd w:val="clear" w:color="auto" w:fill="BFB1D0" w:themeFill="accent4" w:themeFillTint="7F"/>
      </w:tcPr>
    </w:tblStylePr>
    <w:tblStylePr w:type="lastCol">
      <w:rPr>
        <w:color w:val="FFFFFF" w:themeColor="background1"/>
      </w:rPr>
      <w:tblPr/>
      <w:tcPr>
        <w:shd w:val="clear" w:color="auto" w:fill="5F497A" w:themeFill="accent4" w:themeFillShade="BF"/>
      </w:tcPr>
    </w:tblStylePr>
    <w:tblStylePr w:type="firstCol">
      <w:rPr>
        <w:color w:val="FFFFFF" w:themeColor="background1"/>
      </w:rPr>
      <w:tblPr/>
      <w:tcPr>
        <w:shd w:val="clear" w:color="auto" w:fill="5F497A" w:themeFill="accent4" w:themeFillShade="BF"/>
      </w:tcPr>
    </w:tblStylePr>
    <w:tblStylePr w:type="firstRow">
      <w:rPr>
        <w:b w:val="1"/>
        <w:bCs w:val="1"/>
      </w:rPr>
      <w:tblPr/>
      <w:tcPr>
        <w:shd w:val="clear" w:color="auto" w:fill="CCC0D9" w:themeFill="accent4" w:themeFillTint="66"/>
      </w:tcPr>
    </w:tblStylePr>
    <w:tblStylePr w:type="band1Horz">
      <w:tblPr/>
      <w:tcPr>
        <w:shd w:val="clear" w:color="auto" w:fill="BFB1D0" w:themeFill="accent4" w:themeFillTint="7F"/>
      </w:tcPr>
    </w:tblStylePr>
  </w:style>
  <w:style w:type="table" w:styleId="000065">
    <w:name w:val="Medium Shading 1 Accent 6"/>
    <w:basedOn w:val="00001a"/>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lastCol">
      <w:rPr>
        <w:b w:val="1"/>
        <w:bCs w:val="1"/>
      </w:r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tblStylePr w:type="band1Vert">
      <w:tblPr/>
      <w:tcPr>
        <w:shd w:val="clear" w:color="auto" w:fill="FDE4D0" w:themeFill="accent6" w:themeFillTint="3F"/>
      </w:tcPr>
    </w:tblStylePr>
    <w:tblStylePr w:type="firstRow">
      <w:pPr>
        <w:spacing w:before="0" w:after="0" w:line="240" w:lineRule="auto"/>
      </w:pPr>
      <w:rPr>
        <w:b w:val="1"/>
        <w:bCs w:val="1"/>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val="1"/>
        <w:bCs w:val="1"/>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val="1"/>
        <w:bCs w:val="1"/>
      </w:rPr>
    </w:tblStylePr>
  </w:style>
  <w:style w:type="character" w:styleId="000011" w:customStyle="1">
    <w:name w:val="Heading 5 Char"/>
    <w:basedOn w:val="000005"/>
    <w:link w:val="000010"/>
    <w:uiPriority w:val="9"/>
    <w:semiHidden w:val="1"/>
    <w:rsid w:val="00FC693F"/>
    <w:rPr>
      <w:rFonts w:asciiTheme="majorHAnsi" w:hAnsiTheme="majorHAnsi" w:eastAsiaTheme="majorEastAsia" w:cstheme="majorBidi"/>
      <w:color w:val="243F60" w:themeColor="accent1" w:themeShade="7F"/>
    </w:rPr>
  </w:style>
  <w:style w:type="table" w:styleId="0000a7">
    <w:name w:val="Colorful Grid Accent 2"/>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Col">
      <w:rPr>
        <w:color w:val="FFFFFF" w:themeColor="background1"/>
      </w:rPr>
      <w:tblPr/>
      <w:tcPr>
        <w:shd w:val="clear" w:color="auto" w:fill="943634" w:themeFill="accent2" w:themeFillShade="BF"/>
      </w:tcPr>
    </w:tblStylePr>
    <w:tblStylePr w:type="band1Horz">
      <w:tblPr/>
      <w:tcPr>
        <w:shd w:val="clear" w:color="auto" w:fill="DFA7A6" w:themeFill="accent2" w:themeFillTint="7F"/>
      </w:tcPr>
    </w:tblStylePr>
    <w:tblStylePr w:type="band1Vert">
      <w:tblPr/>
      <w:tcPr>
        <w:shd w:val="clear" w:color="auto" w:fill="DFA7A6" w:themeFill="accent2" w:themeFillTint="7F"/>
      </w:tcPr>
    </w:tblStylePr>
    <w:tblStylePr w:type="lastCol">
      <w:rPr>
        <w:color w:val="FFFFFF" w:themeColor="background1"/>
      </w:rPr>
      <w:tblPr/>
      <w:tcPr>
        <w:shd w:val="clear" w:color="auto" w:fill="943634" w:themeFill="accent2" w:themeFillShade="BF"/>
      </w:tcPr>
    </w:tblStylePr>
    <w:tblStylePr w:type="lastRow">
      <w:rPr>
        <w:b w:val="1"/>
        <w:bCs w:val="1"/>
        <w:color w:val="000000" w:themeColor="text1"/>
      </w:rPr>
      <w:tblPr/>
      <w:tcPr>
        <w:shd w:val="clear" w:color="auto" w:fill="E5B8B7" w:themeFill="accent2" w:themeFillTint="66"/>
      </w:tcPr>
    </w:tblStylePr>
    <w:tblStylePr w:type="firstRow">
      <w:rPr>
        <w:b w:val="1"/>
        <w:bCs w:val="1"/>
      </w:rPr>
      <w:tblPr/>
      <w:tcPr>
        <w:shd w:val="clear" w:color="auto" w:fill="E5B8B7" w:themeFill="accent2" w:themeFillTint="66"/>
      </w:tcPr>
    </w:tblStylePr>
  </w:style>
  <w:style w:type="table" w:styleId="00007d">
    <w:name w:val="Medium Grid 1 Accent 2"/>
    <w:basedOn w:val="00001a"/>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band1Horz">
      <w:tblPr/>
      <w:tcPr>
        <w:shd w:val="clear" w:color="auto" w:fill="DFA7A6" w:themeFill="accent2" w:themeFillTint="7F"/>
      </w:tcPr>
    </w:tblStylePr>
    <w:tblStylePr w:type="lastRow">
      <w:rPr>
        <w:b w:val="1"/>
        <w:bCs w:val="1"/>
      </w:rPr>
      <w:tblPr/>
      <w:tcPr>
        <w:tcBorders>
          <w:top w:val="single" w:color="CF7B79" w:themeColor="accent2" w:themeTint="BF" w:sz="18" w:space="0"/>
        </w:tcBorders>
      </w:tcPr>
    </w:tblStylePr>
    <w:tblStylePr w:type="band1Vert">
      <w:tblPr/>
      <w:tcPr>
        <w:shd w:val="clear" w:color="auto" w:fill="DFA7A6" w:themeFill="accent2" w:themeFillTint="7F"/>
      </w:tcPr>
    </w:tblStylePr>
    <w:tblStylePr w:type="lastCol">
      <w:rPr>
        <w:b w:val="1"/>
        <w:bCs w:val="1"/>
      </w:rPr>
    </w:tblStylePr>
    <w:tblStylePr w:type="firstCol">
      <w:rPr>
        <w:b w:val="1"/>
        <w:bCs w:val="1"/>
      </w:rPr>
    </w:tblStylePr>
    <w:tblStylePr w:type="firstRow">
      <w:rPr>
        <w:b w:val="1"/>
        <w:bCs w:val="1"/>
      </w:rPr>
    </w:tblStylePr>
  </w:style>
  <w:style w:type="table" w:styleId="000096">
    <w:name w:val="Dark List Accent 6"/>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000088">
    <w:name w:val="Medium Grid 2 Accent 6"/>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nwCell">
      <w:tblPr/>
      <w:tcPr>
        <w:shd w:val="clear" w:color="auto" w:fill="FFFFFF" w:themeFill="background1"/>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BCAA2" w:themeFill="accent6" w:themeFillTint="7F"/>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firstRow">
      <w:rPr>
        <w:b w:val="1"/>
        <w:bCs w:val="1"/>
        <w:color w:val="000000" w:themeColor="text1"/>
      </w:rPr>
      <w:tblPr/>
      <w:tcPr>
        <w:shd w:val="clear" w:color="auto" w:fill="FEF4EC" w:themeFill="accent6" w:themeFillTint="19"/>
      </w:tcPr>
    </w:tblStylePr>
  </w:style>
  <w:style w:type="table" w:styleId="00005e">
    <w:name w:val="Light Grid Accent 6"/>
    <w:basedOn w:val="00001a"/>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val="1"/>
        <w:bCs w:val="1"/>
      </w:rPr>
    </w:tblStylePr>
    <w:tblStylePr w:type="lastCol">
      <w:rPr>
        <w:rFonts w:asciiTheme="majorHAnsi" w:hAnsiTheme="majorHAnsi" w:eastAsiaTheme="majorEastAsia" w:cstheme="majorBidi"/>
        <w:b w:val="1"/>
        <w:bCs w:val="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lastRow">
      <w:pPr>
        <w:spacing w:before="0" w:after="0" w:line="240" w:lineRule="auto"/>
      </w:pPr>
      <w:rPr>
        <w:rFonts w:asciiTheme="majorHAnsi" w:hAnsiTheme="majorHAnsi" w:eastAsiaTheme="majorEastAsia" w:cstheme="majorBidi"/>
        <w:b w:val="1"/>
        <w:bCs w:val="1"/>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style>
  <w:style w:type="table" w:styleId="0000a4">
    <w:name w:val="Colorful List Accent 6"/>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band1Horz">
      <w:tblPr/>
      <w:tcPr>
        <w:shd w:val="clear" w:color="auto" w:fill="FDE9D9" w:themeFill="accent6" w:themeFillTint="33"/>
      </w:tcPr>
    </w:tblStylePr>
    <w:tblStylePr w:type="lastRow">
      <w:rPr>
        <w:b w:val="1"/>
        <w:bCs w:val="1"/>
        <w:color w:val="348DA5" w:themeColor="accent5"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lastCol">
      <w:rPr>
        <w:b w:val="1"/>
        <w:bCs w:val="1"/>
      </w:rPr>
    </w:tblStylePr>
    <w:tblStylePr w:type="fir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348DA5" w:themeFill="accent5" w:themeFillShade="CC"/>
      </w:tcPr>
    </w:tblStylePr>
  </w:style>
  <w:style w:type="table" w:styleId="000049">
    <w:name w:val="Table Grid"/>
    <w:basedOn w:val="00001a"/>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000076">
    <w:name w:val="Medium List 2 Accent 2"/>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swCell">
      <w:tblPr/>
      <w:tcPr>
        <w:tcBorders>
          <w:top w:val="nil"/>
        </w:tcBorders>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band1Horz">
      <w:tblPr/>
      <w:tcPr>
        <w:tcBorders>
          <w:top w:val="nil"/>
          <w:bottom w:val="nil"/>
          <w:insideH w:val="nil"/>
          <w:insideV w:val="nil"/>
        </w:tcBorders>
        <w:shd w:val="clear" w:color="auto" w:fill="EFD3D2" w:themeFill="accent2" w:themeFillTint="3F"/>
      </w:tcPr>
    </w:tblStyle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style>
  <w:style w:type="table" w:styleId="000063">
    <w:name w:val="Medium Shading 1 Accent 4"/>
    <w:basedOn w:val="00001a"/>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band2Horz">
      <w:tblPr/>
      <w:tcPr>
        <w:tcBorders>
          <w:insideH w:val="nil"/>
          <w:insideV w:val="nil"/>
        </w:tcBorders>
      </w:tcPr>
    </w:tblStylePr>
    <w:tblStylePr w:type="firstRow">
      <w:pPr>
        <w:spacing w:before="0" w:after="0" w:line="240" w:lineRule="auto"/>
      </w:pPr>
      <w:rPr>
        <w:b w:val="1"/>
        <w:bCs w:val="1"/>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band1Horz">
      <w:tblPr/>
      <w:tcPr>
        <w:tcBorders>
          <w:insideH w:val="nil"/>
          <w:insideV w:val="nil"/>
        </w:tcBorders>
        <w:shd w:val="clear" w:color="auto" w:fill="DFD8E8" w:themeFill="accent4" w:themeFillTint="3F"/>
      </w:tcPr>
    </w:tblStylePr>
    <w:tblStylePr w:type="band1Vert">
      <w:tblPr/>
      <w:tcPr>
        <w:shd w:val="clear" w:color="auto" w:fill="DFD8E8" w:themeFill="accent4" w:themeFillTint="3F"/>
      </w:tcPr>
    </w:tblStylePr>
    <w:tblStylePr w:type="firstCol">
      <w:rPr>
        <w:b w:val="1"/>
        <w:bCs w:val="1"/>
      </w:rPr>
    </w:tblStylePr>
    <w:tblStylePr w:type="lastRow">
      <w:pPr>
        <w:spacing w:before="0" w:after="0" w:line="240" w:lineRule="auto"/>
      </w:pPr>
      <w:rPr>
        <w:b w:val="1"/>
        <w:bCs w:val="1"/>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lastCol">
      <w:rPr>
        <w:b w:val="1"/>
        <w:bCs w:val="1"/>
      </w:rPr>
    </w:tblStylePr>
  </w:style>
  <w:style w:type="paragraph" w:styleId="000039">
    <w:name w:val="List Continue 3"/>
    <w:basedOn w:val="000002"/>
    <w:uiPriority w:val="99"/>
    <w:unhideWhenUsed w:val="1"/>
    <w:rsid w:val="0029639D"/>
    <w:pPr>
      <w:spacing w:after="120"/>
      <w:ind w:left="1080"/>
      <w:contextualSpacing w:val="1"/>
    </w:pPr>
  </w:style>
  <w:style w:type="table" w:styleId="000054">
    <w:name w:val="Light List Accent 3"/>
    <w:basedOn w:val="00001a"/>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Col">
      <w:rPr>
        <w:b w:val="1"/>
        <w:bCs w:val="1"/>
      </w:rPr>
    </w:tblStylePr>
    <w:tblStylePr w:type="lastRow">
      <w:pPr>
        <w:spacing w:before="0" w:after="0" w:line="240" w:lineRule="auto"/>
      </w:pPr>
      <w:rPr>
        <w:b w:val="1"/>
        <w:bCs w:val="1"/>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lastCol">
      <w:rPr>
        <w:b w:val="1"/>
        <w:bCs w:val="1"/>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firstRow">
      <w:pPr>
        <w:spacing w:before="0" w:after="0" w:line="240" w:lineRule="auto"/>
      </w:pPr>
      <w:rPr>
        <w:b w:val="1"/>
        <w:bCs w:val="1"/>
        <w:color w:val="FFFFFF" w:themeColor="background1"/>
      </w:rPr>
      <w:tblPr/>
      <w:tcPr>
        <w:shd w:val="clear" w:color="auto" w:fill="9BBB59" w:themeFill="accent3"/>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000071">
    <w:name w:val="Medium List 1 Accent 4"/>
    <w:basedOn w:val="00001a"/>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lastCol">
      <w:rPr>
        <w:b w:val="1"/>
        <w:bCs w:val="1"/>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lastRow">
      <w:rPr>
        <w:b w:val="1"/>
        <w:bCs w:val="1"/>
        <w:color w:val="1F497D" w:themeColor="text2"/>
      </w:rPr>
      <w:tblPr/>
      <w:tcPr>
        <w:tcBorders>
          <w:top w:val="single" w:color="8064A2" w:themeColor="accent4" w:sz="8" w:space="0"/>
          <w:bottom w:val="single" w:color="8064A2" w:themeColor="accent4" w:sz="8" w:space="0"/>
        </w:tcBorders>
      </w:tcPr>
    </w:tblStylePr>
    <w:tblStylePr w:type="firstCol">
      <w:rPr>
        <w:b w:val="1"/>
        <w:bCs w:val="1"/>
      </w:rPr>
    </w:tblStylePr>
    <w:tblStylePr w:type="band1Horz">
      <w:tblPr/>
      <w:tcPr>
        <w:shd w:val="clear" w:color="auto" w:fill="DFD8E8" w:themeFill="accent4" w:themeFillTint="3F"/>
      </w:tcPr>
    </w:tblStylePr>
    <w:tblStylePr w:type="firstRow">
      <w:rPr>
        <w:rFonts w:asciiTheme="majorHAnsi" w:hAnsiTheme="majorHAnsi" w:eastAsiaTheme="majorEastAsia" w:cstheme="majorBidi"/>
      </w:rPr>
      <w:tblPr/>
      <w:tcPr>
        <w:tcBorders>
          <w:top w:val="nil"/>
          <w:bottom w:val="single" w:color="8064A2" w:themeColor="accent4" w:sz="8" w:space="0"/>
        </w:tcBorders>
      </w:tcPr>
    </w:tblStylePr>
  </w:style>
  <w:style w:type="table" w:styleId="000057">
    <w:name w:val="Light List Accent 6"/>
    <w:basedOn w:val="00001a"/>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firstRow">
      <w:pPr>
        <w:spacing w:before="0" w:after="0" w:line="240" w:lineRule="auto"/>
      </w:pPr>
      <w:rPr>
        <w:b w:val="1"/>
        <w:bCs w:val="1"/>
        <w:color w:val="FFFFFF" w:themeColor="background1"/>
      </w:rPr>
      <w:tblPr/>
      <w:tcPr>
        <w:shd w:val="clear" w:color="auto" w:fill="F79646" w:themeFill="accent6"/>
      </w:tcPr>
    </w:tblStylePr>
    <w:tblStylePr w:type="lastCol">
      <w:rPr>
        <w:b w:val="1"/>
        <w:bCs w:val="1"/>
      </w:rPr>
    </w:tblStylePr>
    <w:tblStylePr w:type="firstCol">
      <w:rPr>
        <w:b w:val="1"/>
        <w:bCs w:val="1"/>
      </w:rPr>
    </w:tblStylePr>
    <w:tblStylePr w:type="lastRow">
      <w:pPr>
        <w:spacing w:before="0" w:after="0" w:line="240" w:lineRule="auto"/>
      </w:pPr>
      <w:rPr>
        <w:b w:val="1"/>
        <w:bCs w:val="1"/>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0000a3">
    <w:name w:val="Colorful List Accent 5"/>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lastRow">
      <w:rPr>
        <w:b w:val="1"/>
        <w:bCs w:val="1"/>
        <w:color w:val="F2730A" w:themeColor="accent6"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firstCol">
      <w:rPr>
        <w:b w:val="1"/>
        <w:bCs w:val="1"/>
      </w:rPr>
    </w:tblStylePr>
    <w:tblStylePr w:type="la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F2730A" w:themeFill="accent6" w:themeFillShade="CC"/>
      </w:tcPr>
    </w:tblStylePr>
    <w:tblStylePr w:type="band1Horz">
      <w:tblPr/>
      <w:tcPr>
        <w:shd w:val="clear" w:color="auto" w:fill="DAEEF3" w:themeFill="accent5" w:themeFillTint="33"/>
      </w:tcPr>
    </w:tblStylePr>
  </w:style>
  <w:style w:type="table" w:styleId="000074">
    <w:name w:val="Medium List 2"/>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nwCell">
      <w:tblPr/>
      <w:tcPr>
        <w:shd w:val="clear" w:color="auto" w:fill="FFFFFF" w:themeFill="background1"/>
      </w:tcPr>
    </w:tblStylePr>
    <w:tblStylePr w:type="swCell">
      <w:tblPr/>
      <w:tcPr>
        <w:tcBorders>
          <w:top w:val="nil"/>
        </w:tcBorders>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style>
  <w:style w:type="table" w:styleId="00008a">
    <w:name w:val="Medium Grid 3 Accent 1"/>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style>
  <w:style w:type="character" w:styleId="000007" w:customStyle="1">
    <w:name w:val="Footer Char"/>
    <w:basedOn w:val="000005"/>
    <w:link w:val="000006"/>
    <w:uiPriority w:val="99"/>
    <w:rsid w:val="00E618BF"/>
  </w:style>
  <w:style w:type="table" w:styleId="000082">
    <w:name w:val="Medium Grid 2"/>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band1Vert">
      <w:tblPr/>
      <w:tcPr>
        <w:shd w:val="clear" w:color="auto" w:fill="808080" w:themeFill="text1" w:themeFillTint="7F"/>
      </w:tcPr>
    </w:tblStylePr>
    <w:tblStylePr w:type="firstRow">
      <w:rPr>
        <w:b w:val="1"/>
        <w:bCs w:val="1"/>
        <w:color w:val="000000" w:themeColor="text1"/>
      </w:rPr>
      <w:tblPr/>
      <w:tcPr>
        <w:shd w:val="clear" w:color="auto" w:fill="E6E6E6" w:themeFill="text1" w:themeFillTint="19"/>
      </w:tcPr>
    </w:tblStylePr>
    <w:tblStylePr w:type="nwCell">
      <w:tblPr/>
      <w:tcPr>
        <w:shd w:val="clear" w:color="auto" w:fill="FFFFFF" w:themeFill="background1"/>
      </w:tcPr>
    </w:tblStylePr>
  </w:style>
  <w:style w:type="paragraph" w:styleId="000029">
    <w:name w:val="List 2"/>
    <w:basedOn w:val="000002"/>
    <w:uiPriority w:val="99"/>
    <w:unhideWhenUsed w:val="1"/>
    <w:rsid w:val="00326F90"/>
    <w:pPr>
      <w:ind w:left="720" w:hanging="360"/>
      <w:contextualSpacing w:val="1"/>
    </w:pPr>
  </w:style>
  <w:style w:type="paragraph" w:styleId="00002e">
    <w:name w:val="List Bullet 2"/>
    <w:basedOn w:val="000002"/>
    <w:uiPriority w:val="99"/>
    <w:unhideWhenUsed w:val="1"/>
    <w:rsid w:val="00326F90"/>
    <w:pPr>
      <w:numPr>
        <w:numId w:val="3"/>
      </w:numPr>
      <w:contextualSpacing w:val="1"/>
    </w:pPr>
  </w:style>
  <w:style w:type="table" w:styleId="00005d">
    <w:name w:val="Light Grid Accent 5"/>
    <w:basedOn w:val="00001a"/>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val="1"/>
        <w:bCs w:val="1"/>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lastCol">
      <w:rPr>
        <w:rFonts w:asciiTheme="majorHAnsi" w:hAnsiTheme="majorHAnsi" w:eastAsiaTheme="majorEastAsia" w:cstheme="majorBidi"/>
        <w:b w:val="1"/>
        <w:bCs w:val="1"/>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firstCol">
      <w:rPr>
        <w:rFonts w:asciiTheme="majorHAnsi" w:hAnsiTheme="majorHAnsi" w:eastAsiaTheme="majorEastAsia" w:cstheme="majorBidi"/>
        <w:b w:val="1"/>
        <w:bCs w:val="1"/>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000077">
    <w:name w:val="Medium List 2 Accent 3"/>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nwCell">
      <w:tblPr/>
      <w:tcPr>
        <w:shd w:val="clear" w:color="auto" w:fill="FFFFFF" w:themeFill="background1"/>
      </w:tcPr>
    </w:tblStylePr>
    <w:tblStylePr w:type="band1Horz">
      <w:tblPr/>
      <w:tcPr>
        <w:tcBorders>
          <w:top w:val="nil"/>
          <w:bottom w:val="nil"/>
          <w:insideH w:val="nil"/>
          <w:insideV w:val="nil"/>
        </w:tcBorders>
        <w:shd w:val="clear" w:color="auto" w:fill="E6EED5" w:themeFill="accent3" w:themeFillTint="3F"/>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swCell">
      <w:tblPr/>
      <w:tcPr>
        <w:tcBorders>
          <w:top w:val="nil"/>
        </w:tcBorders>
      </w:tcPr>
    </w:tblStyle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style>
  <w:style w:type="table" w:styleId="00006b">
    <w:name w:val="Medium Shading 2 Accent 5"/>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neCell">
      <w:tblPr/>
      <w:tcPr>
        <w:tcBorders>
          <w:top w:val="single" w:color="auto" w:sz="18" w:space="0"/>
          <w:left w:val="nil"/>
          <w:bottom w:val="single" w:color="auto" w:sz="18" w:space="0"/>
          <w:right w:val="nil"/>
          <w:insideH w:val="nil"/>
          <w:insideV w:val="nil"/>
        </w:tcBorders>
      </w:tcPr>
    </w:tblStylePr>
    <w:tblStylePr w:type="lastCol">
      <w:rPr>
        <w:b w:val="1"/>
        <w:bCs w:val="1"/>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band1Horz">
      <w:tblPr/>
      <w:tcPr>
        <w:shd w:val="clear" w:color="auto" w:fill="D8D8D8" w:themeFill="background1" w:themeFillShade="D8"/>
      </w:tcPr>
    </w:tblStylePr>
  </w:style>
  <w:style w:type="table" w:styleId="000051">
    <w:name w:val="Light List"/>
    <w:basedOn w:val="00001a"/>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Col">
      <w:rPr>
        <w:b w:val="1"/>
        <w:bCs w:val="1"/>
      </w:rPr>
    </w:tblStylePr>
    <w:tblStylePr w:type="firstRow">
      <w:pPr>
        <w:spacing w:before="0" w:after="0" w:line="240" w:lineRule="auto"/>
      </w:pPr>
      <w:rPr>
        <w:b w:val="1"/>
        <w:bCs w:val="1"/>
        <w:color w:val="FFFFFF" w:themeColor="background1"/>
      </w:rPr>
      <w:tblPr/>
      <w:tcPr>
        <w:shd w:val="clear" w:color="auto" w:fill="000000" w:themeFill="text1"/>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pPr>
        <w:spacing w:before="0" w:after="0" w:line="240" w:lineRule="auto"/>
      </w:pPr>
      <w:rPr>
        <w:b w:val="1"/>
        <w:bCs w:val="1"/>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Col">
      <w:rPr>
        <w:b w:val="1"/>
        <w:bCs w:val="1"/>
      </w:rPr>
    </w:tblStylePr>
  </w:style>
  <w:style w:type="table" w:styleId="000062">
    <w:name w:val="Medium Shading 1 Accent 3"/>
    <w:basedOn w:val="00001a"/>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band1Horz">
      <w:tblPr/>
      <w:tcPr>
        <w:tcBorders>
          <w:insideH w:val="nil"/>
          <w:insideV w:val="nil"/>
        </w:tcBorders>
        <w:shd w:val="clear" w:color="auto" w:fill="E6EED5" w:themeFill="accent3" w:themeFillTint="3F"/>
      </w:tcPr>
    </w:tblStylePr>
    <w:tblStylePr w:type="firstCol">
      <w:rPr>
        <w:b w:val="1"/>
        <w:bCs w:val="1"/>
      </w:rPr>
    </w:tblStylePr>
    <w:tblStylePr w:type="firstRow">
      <w:pPr>
        <w:spacing w:before="0" w:after="0" w:line="240" w:lineRule="auto"/>
      </w:pPr>
      <w:rPr>
        <w:b w:val="1"/>
        <w:bCs w:val="1"/>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band1Vert">
      <w:tblPr/>
      <w:tcPr>
        <w:shd w:val="clear" w:color="auto" w:fill="E6EED5" w:themeFill="accent3" w:themeFillTint="3F"/>
      </w:tcPr>
    </w:tblStylePr>
    <w:tblStylePr w:type="lastRow">
      <w:pPr>
        <w:spacing w:before="0" w:after="0" w:line="240" w:lineRule="auto"/>
      </w:pPr>
      <w:rPr>
        <w:b w:val="1"/>
        <w:bCs w:val="1"/>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band2Horz">
      <w:tblPr/>
      <w:tcPr>
        <w:tcBorders>
          <w:insideH w:val="nil"/>
          <w:insideV w:val="nil"/>
        </w:tcBorders>
      </w:tcPr>
    </w:tblStylePr>
    <w:tblStylePr w:type="lastCol">
      <w:rPr>
        <w:b w:val="1"/>
        <w:bCs w:val="1"/>
      </w:rPr>
    </w:tblStylePr>
  </w:style>
  <w:style w:type="table" w:styleId="0000ab">
    <w:name w:val="Colorful Grid Accent 6"/>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band1Horz">
      <w:tblPr/>
      <w:tcPr>
        <w:shd w:val="clear" w:color="auto" w:fill="FBCAA2" w:themeFill="accent6" w:themeFillTint="7F"/>
      </w:tcPr>
    </w:tblStylePr>
    <w:tblStylePr w:type="firstRow">
      <w:rPr>
        <w:b w:val="1"/>
        <w:bCs w:val="1"/>
      </w:rPr>
      <w:tblPr/>
      <w:tcPr>
        <w:shd w:val="clear" w:color="auto" w:fill="FBD4B4" w:themeFill="accent6" w:themeFillTint="66"/>
      </w:tcPr>
    </w:tblStylePr>
    <w:tblStylePr w:type="band1Vert">
      <w:tblPr/>
      <w:tcPr>
        <w:shd w:val="clear" w:color="auto" w:fill="FBCAA2" w:themeFill="accent6" w:themeFillTint="7F"/>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lastRow">
      <w:rPr>
        <w:b w:val="1"/>
        <w:bCs w:val="1"/>
        <w:color w:val="000000" w:themeColor="text1"/>
      </w:rPr>
      <w:tblPr/>
      <w:tcPr>
        <w:shd w:val="clear" w:color="auto" w:fill="FBD4B4" w:themeFill="accent6" w:themeFillTint="66"/>
      </w:tcPr>
    </w:tblStylePr>
  </w:style>
  <w:style w:type="character" w:styleId="000042" w:customStyle="1">
    <w:name w:val="Intense Quote Char"/>
    <w:basedOn w:val="000005"/>
    <w:link w:val="000041"/>
    <w:uiPriority w:val="30"/>
    <w:rsid w:val="00FC693F"/>
    <w:rPr>
      <w:b w:val="1"/>
      <w:bCs w:val="1"/>
      <w:i w:val="1"/>
      <w:iCs w:val="1"/>
      <w:color w:val="4F81BD" w:themeColor="accent1"/>
    </w:rPr>
  </w:style>
  <w:style w:type="table" w:styleId="00008b">
    <w:name w:val="Medium Grid 3 Accent 2"/>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style>
  <w:style w:type="table" w:styleId="00006c">
    <w:name w:val="Medium Shading 2 Accent 6"/>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8D8D8" w:themeFill="background1" w:themeFillShade="D8"/>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neCell">
      <w:tblPr/>
      <w:tcPr>
        <w:tcBorders>
          <w:top w:val="single" w:color="auto" w:sz="18" w:space="0"/>
          <w:left w:val="nil"/>
          <w:bottom w:val="single" w:color="auto" w:sz="18" w:space="0"/>
          <w:right w:val="nil"/>
          <w:insideH w:val="nil"/>
          <w:insideV w:val="nil"/>
        </w:tcBorders>
      </w:tcPr>
    </w:tblStylePr>
    <w:tblStylePr w:type="band1Horz">
      <w:tblPr/>
      <w:tcPr>
        <w:shd w:val="clear" w:color="auto" w:fill="D8D8D8" w:themeFill="background1" w:themeFillShade="D8"/>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lastCol">
      <w:rPr>
        <w:b w:val="1"/>
        <w:bCs w:val="1"/>
        <w:color w:val="FFFFFF" w:themeColor="background1"/>
      </w:rPr>
      <w:tblPr/>
      <w:tcPr>
        <w:tcBorders>
          <w:left w:val="nil"/>
          <w:right w:val="nil"/>
          <w:insideH w:val="nil"/>
          <w:insideV w:val="nil"/>
        </w:tcBorders>
        <w:shd w:val="clear" w:color="auto" w:fill="F79646" w:themeFill="accent6"/>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000022">
    <w:name w:val="Body Text"/>
    <w:basedOn w:val="000002"/>
    <w:link w:val="000023"/>
    <w:uiPriority w:val="99"/>
    <w:unhideWhenUsed w:val="1"/>
    <w:rsid w:val="00AA1D8D"/>
    <w:pPr>
      <w:spacing w:after="120"/>
    </w:pPr>
  </w:style>
  <w:style w:type="table" w:styleId="000066">
    <w:name w:val="Medium Shading 2"/>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lastCol">
      <w:rPr>
        <w:b w:val="1"/>
        <w:bCs w:val="1"/>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style>
  <w:style w:type="table" w:styleId="000070">
    <w:name w:val="Medium List 1 Accent 3"/>
    <w:basedOn w:val="00001a"/>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band1Vert">
      <w:tblPr/>
      <w:tcPr>
        <w:shd w:val="clear" w:color="auto" w:fill="E6EED5" w:themeFill="accent3" w:themeFillTint="3F"/>
      </w:tcPr>
    </w:tblStylePr>
    <w:tblStylePr w:type="band1Horz">
      <w:tblPr/>
      <w:tcPr>
        <w:shd w:val="clear" w:color="auto" w:fill="E6EED5" w:themeFill="accent3" w:themeFillTint="3F"/>
      </w:tcPr>
    </w:tblStyle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val="1"/>
        <w:bCs w:val="1"/>
        <w:color w:val="1F497D" w:themeColor="text2"/>
      </w:rPr>
      <w:tblPr/>
      <w:tcPr>
        <w:tcBorders>
          <w:top w:val="single" w:color="9BBB59" w:themeColor="accent3" w:sz="8" w:space="0"/>
          <w:bottom w:val="single" w:color="9BBB59" w:themeColor="accent3" w:sz="8" w:space="0"/>
        </w:tcBorders>
      </w:tcPr>
    </w:tblStylePr>
    <w:tblStylePr w:type="lastCol">
      <w:rPr>
        <w:b w:val="1"/>
        <w:bCs w:val="1"/>
      </w:rPr>
      <w:tblPr/>
      <w:tcPr>
        <w:tcBorders>
          <w:top w:val="single" w:color="9BBB59" w:themeColor="accent3" w:sz="8" w:space="0"/>
          <w:bottom w:val="single" w:color="9BBB59" w:themeColor="accent3" w:sz="8" w:space="0"/>
        </w:tcBorders>
      </w:tcPr>
    </w:tblStylePr>
    <w:tblStylePr w:type="firstCol">
      <w:rPr>
        <w:b w:val="1"/>
        <w:bCs w:val="1"/>
      </w:rPr>
    </w:tblStylePr>
  </w:style>
  <w:style w:type="paragraph" w:styleId="000008">
    <w:name w:val="heading 1"/>
    <w:basedOn w:val="000002"/>
    <w:next w:val="000002"/>
    <w:link w:val="000009"/>
    <w:uiPriority w:val="9"/>
    <w:qFormat w:val="1"/>
    <w:rsid w:val="00FC693F"/>
    <w:pPr>
      <w:keepNext w:val="1"/>
      <w:keepLines w:val="1"/>
      <w:spacing w:before="480" w:after="0"/>
      <w:outlineLvl w:val="0"/>
    </w:pPr>
    <w:rPr>
      <w:rFonts w:asciiTheme="majorHAnsi" w:hAnsiTheme="majorHAnsi" w:eastAsiaTheme="majorEastAsia" w:cstheme="majorBidi"/>
      <w:b w:val="1"/>
      <w:bCs w:val="1"/>
      <w:color w:val="365F91" w:themeColor="accent1" w:themeShade="BF"/>
      <w:sz w:val="28"/>
      <w:szCs w:val="28"/>
    </w:rPr>
  </w:style>
  <w:style w:type="table" w:styleId="00004b">
    <w:name w:val="Light Shading Accent 1"/>
    <w:basedOn w:val="00001a"/>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single" w:color="4F81BD" w:themeColor="accent1" w:sz="8" w:space="0"/>
          <w:left w:val="nil"/>
          <w:bottom w:val="single" w:color="4F81BD" w:themeColor="accent1" w:sz="8" w:space="0"/>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firstCol">
      <w:rPr>
        <w:b w:val="1"/>
        <w:bCs w:val="1"/>
      </w:rPr>
    </w:tblStylePr>
    <w:tblStylePr w:type="firstRow">
      <w:pPr>
        <w:spacing w:before="0" w:after="0" w:line="240" w:lineRule="auto"/>
      </w:pPr>
      <w:rPr>
        <w:b w:val="1"/>
        <w:bCs w:val="1"/>
      </w:rPr>
      <w:tblPr/>
      <w:tcPr>
        <w:tcBorders>
          <w:top w:val="single" w:color="4F81BD" w:themeColor="accent1" w:sz="8" w:space="0"/>
          <w:left w:val="nil"/>
          <w:bottom w:val="single" w:color="4F81BD" w:themeColor="accent1" w:sz="8" w:space="0"/>
          <w:right w:val="nil"/>
          <w:insideH w:val="nil"/>
          <w:insideV w:val="nil"/>
        </w:tcBorders>
      </w:tcPr>
    </w:tblStylePr>
    <w:tblStylePr w:type="band1Horz">
      <w:tblPr/>
      <w:tcPr>
        <w:tcBorders>
          <w:left w:val="nil"/>
          <w:right w:val="nil"/>
          <w:insideH w:val="nil"/>
          <w:insideV w:val="nil"/>
        </w:tcBorders>
        <w:shd w:val="clear" w:color="auto" w:fill="D3DFEE" w:themeFill="accent1" w:themeFillTint="3F"/>
      </w:tcPr>
    </w:tblStylePr>
    <w:tblStylePr w:type="lastCol">
      <w:rPr>
        <w:b w:val="1"/>
        <w:bCs w:val="1"/>
      </w:rPr>
    </w:tblStylePr>
  </w:style>
  <w:style w:type="table" w:styleId="00007c">
    <w:name w:val="Medium Grid 1 Accent 1"/>
    <w:basedOn w:val="00001a"/>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lastCol">
      <w:rPr>
        <w:b w:val="1"/>
        <w:bCs w:val="1"/>
      </w:rPr>
    </w:tblStylePr>
    <w:tblStylePr w:type="firstCol">
      <w:rPr>
        <w:b w:val="1"/>
        <w:bCs w:val="1"/>
      </w:rPr>
    </w:tblStylePr>
    <w:tblStylePr w:type="firstRow">
      <w:rPr>
        <w:b w:val="1"/>
        <w:bCs w:val="1"/>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lastRow">
      <w:rPr>
        <w:b w:val="1"/>
        <w:bCs w:val="1"/>
      </w:rPr>
      <w:tblPr/>
      <w:tcPr>
        <w:tcBorders>
          <w:top w:val="single" w:color="7BA0CD" w:themeColor="accent1" w:themeTint="BF" w:sz="18" w:space="0"/>
        </w:tcBorders>
      </w:tcPr>
    </w:tblStylePr>
  </w:style>
  <w:style w:type="paragraph" w:styleId="000014">
    <w:name w:val="heading 7"/>
    <w:basedOn w:val="000002"/>
    <w:next w:val="000002"/>
    <w:link w:val="000015"/>
    <w:uiPriority w:val="9"/>
    <w:semiHidden w:val="1"/>
    <w:unhideWhenUsed w:val="1"/>
    <w:qFormat w:val="1"/>
    <w:rsid w:val="00FC693F"/>
    <w:pPr>
      <w:keepNext w:val="1"/>
      <w:keepLines w:val="1"/>
      <w:spacing w:before="200" w:after="0"/>
      <w:outlineLvl w:val="6"/>
    </w:pPr>
    <w:rPr>
      <w:rFonts w:asciiTheme="majorHAnsi" w:hAnsiTheme="majorHAnsi" w:eastAsiaTheme="majorEastAsia" w:cstheme="majorBidi"/>
      <w:i w:val="1"/>
      <w:iCs w:val="1"/>
      <w:color w:val="404040" w:themeColor="text1" w:themeTint="BF"/>
    </w:rPr>
  </w:style>
  <w:style w:type="table" w:styleId="0000a0">
    <w:name w:val="Colorful List Accent 2"/>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Col">
      <w:rPr>
        <w:b w:val="1"/>
        <w:bCs w:val="1"/>
      </w:rPr>
    </w:tblStylePr>
    <w:tblStylePr w:type="lastCol">
      <w:rPr>
        <w:b w:val="1"/>
        <w:bCs w:val="1"/>
      </w:rPr>
    </w:tblStylePr>
    <w:tblStylePr w:type="band1Horz">
      <w:tblPr/>
      <w:tcPr>
        <w:shd w:val="clear" w:color="auto" w:fill="F2DBDB" w:themeFill="accent2" w:themeFillTint="33"/>
      </w:tc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style>
  <w:style w:type="paragraph" w:styleId="000034">
    <w:name w:val="List Number 2"/>
    <w:basedOn w:val="000002"/>
    <w:uiPriority w:val="99"/>
    <w:unhideWhenUsed w:val="1"/>
    <w:rsid w:val="0029639D"/>
    <w:pPr>
      <w:numPr>
        <w:numId w:val="4"/>
      </w:numPr>
      <w:contextualSpacing w:val="1"/>
    </w:pPr>
  </w:style>
  <w:style w:type="character" w:styleId="000047">
    <w:name w:val="Book Title"/>
    <w:basedOn w:val="000005"/>
    <w:uiPriority w:val="33"/>
    <w:qFormat w:val="1"/>
    <w:rsid w:val="00FC693F"/>
    <w:rPr>
      <w:b w:val="1"/>
      <w:bCs w:val="1"/>
      <w:smallCaps w:val="1"/>
      <w:spacing w:val="5"/>
    </w:rPr>
  </w:style>
  <w:style w:type="paragraph" w:styleId="000037">
    <w:name w:val="List Continue"/>
    <w:basedOn w:val="000002"/>
    <w:uiPriority w:val="99"/>
    <w:unhideWhenUsed w:val="1"/>
    <w:rsid w:val="0029639D"/>
    <w:pPr>
      <w:spacing w:after="120"/>
      <w:ind w:left="360"/>
      <w:contextualSpacing w:val="1"/>
    </w:pPr>
  </w:style>
  <w:style w:type="table" w:styleId="000089">
    <w:name w:val="Medium Grid 3"/>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style>
  <w:style w:type="paragraph" w:styleId="00003e">
    <w:name w:val="caption"/>
    <w:basedOn w:val="000002"/>
    <w:next w:val="000002"/>
    <w:uiPriority w:val="35"/>
    <w:semiHidden w:val="1"/>
    <w:unhideWhenUsed w:val="1"/>
    <w:qFormat w:val="1"/>
    <w:rsid w:val="00FC693F"/>
    <w:pPr>
      <w:spacing w:line="240" w:lineRule="auto"/>
    </w:pPr>
    <w:rPr>
      <w:b w:val="1"/>
      <w:bCs w:val="1"/>
      <w:color w:val="4F81BD" w:themeColor="accent1"/>
      <w:sz w:val="18"/>
      <w:szCs w:val="18"/>
    </w:rPr>
  </w:style>
  <w:style w:type="table" w:styleId="00006d">
    <w:name w:val="Medium List 1"/>
    <w:basedOn w:val="00001a"/>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val="1"/>
        <w:bCs w:val="1"/>
        <w:color w:val="1F497D" w:themeColor="text2"/>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firstCol">
      <w:rPr>
        <w:b w:val="1"/>
        <w:bCs w:val="1"/>
      </w:rPr>
    </w:tblStylePr>
    <w:tblStylePr w:type="lastCol">
      <w:rPr>
        <w:b w:val="1"/>
        <w:bCs w:val="1"/>
      </w:rPr>
      <w:tblPr/>
      <w:tcPr>
        <w:tcBorders>
          <w:top w:val="single" w:color="000000" w:themeColor="text1" w:sz="8" w:space="0"/>
          <w:bottom w:val="single" w:color="000000" w:themeColor="text1" w:sz="8" w:space="0"/>
        </w:tcBorders>
      </w:tcPr>
    </w:tblStylePr>
    <w:tblStylePr w:type="band1Horz">
      <w:tblPr/>
      <w:tcPr>
        <w:shd w:val="clear" w:color="auto" w:fill="C0C0C0" w:themeFill="text1" w:themeFillTint="3F"/>
      </w:tcPr>
    </w:tblStylePr>
  </w:style>
  <w:style w:type="paragraph" w:styleId="000016">
    <w:name w:val="heading 8"/>
    <w:basedOn w:val="000002"/>
    <w:next w:val="000002"/>
    <w:link w:val="000017"/>
    <w:uiPriority w:val="9"/>
    <w:semiHidden w:val="1"/>
    <w:unhideWhenUsed w:val="1"/>
    <w:qFormat w:val="1"/>
    <w:rsid w:val="00FC693F"/>
    <w:pPr>
      <w:keepNext w:val="1"/>
      <w:keepLines w:val="1"/>
      <w:spacing w:before="200" w:after="0"/>
      <w:outlineLvl w:val="7"/>
    </w:pPr>
    <w:rPr>
      <w:rFonts w:asciiTheme="majorHAnsi" w:hAnsiTheme="majorHAnsi" w:eastAsiaTheme="majorEastAsia" w:cstheme="majorBidi"/>
      <w:color w:val="4F81BD" w:themeColor="accent1"/>
      <w:sz w:val="20"/>
      <w:szCs w:val="20"/>
    </w:rPr>
  </w:style>
  <w:style w:type="table" w:styleId="00008f">
    <w:name w:val="Medium Grid 3 Accent 6"/>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paragraph" w:styleId="00001d">
    <w:name w:val="Title"/>
    <w:basedOn w:val="000002"/>
    <w:next w:val="000002"/>
    <w:link w:val="00001e"/>
    <w:uiPriority w:val="10"/>
    <w:qFormat w:val="1"/>
    <w:rsid w:val="00FC693F"/>
    <w:pPr>
      <w:pBdr>
        <w:bottom w:val="single" w:color="4F81BD" w:themeColor="accent1" w:sz="8" w:space="4"/>
      </w:pBdr>
      <w:spacing w:after="300" w:line="240" w:lineRule="auto"/>
      <w:contextualSpacing w:val="1"/>
    </w:pPr>
    <w:rPr>
      <w:rFonts w:asciiTheme="majorHAnsi" w:hAnsiTheme="majorHAnsi" w:eastAsiaTheme="majorEastAsia" w:cstheme="majorBidi"/>
      <w:color w:val="17365D" w:themeColor="text2" w:themeShade="BF"/>
      <w:spacing w:val="5"/>
      <w:kern w:val="28"/>
      <w:sz w:val="52"/>
      <w:szCs w:val="52"/>
    </w:rPr>
  </w:style>
  <w:style w:type="paragraph" w:styleId="000041">
    <w:name w:val="Intense Quote"/>
    <w:basedOn w:val="000002"/>
    <w:next w:val="000002"/>
    <w:link w:val="000042"/>
    <w:uiPriority w:val="30"/>
    <w:qFormat w:val="1"/>
    <w:rsid w:val="00FC693F"/>
    <w:pPr>
      <w:pBdr>
        <w:bottom w:val="single" w:color="4F81BD" w:themeColor="accent1" w:sz="4" w:space="4"/>
      </w:pBdr>
      <w:spacing w:before="200" w:after="280"/>
      <w:ind w:left="936" w:right="936"/>
    </w:pPr>
    <w:rPr>
      <w:b w:val="1"/>
      <w:bCs w:val="1"/>
      <w:i w:val="1"/>
      <w:iCs w:val="1"/>
      <w:color w:val="4F81BD" w:themeColor="accent1"/>
    </w:rPr>
  </w:style>
  <w:style w:type="table" w:styleId="000078">
    <w:name w:val="Medium List 2 Accent 4"/>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DFD8E8" w:themeFill="accent4" w:themeFillTint="3F"/>
      </w:tcPr>
    </w:tblStyle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swCell">
      <w:tblPr/>
      <w:tcPr>
        <w:tcBorders>
          <w:top w:val="nil"/>
        </w:tcBorders>
      </w:tcPr>
    </w:tblStylePr>
    <w:tblStylePr w:type="nwCell">
      <w:tblPr/>
      <w:tcPr>
        <w:shd w:val="clear" w:color="auto" w:fill="FFFFFF" w:themeFill="background1"/>
      </w:tcPr>
    </w:tblStylePr>
  </w:style>
  <w:style w:type="character" w:styleId="000043">
    <w:name w:val="Subtle Emphasis"/>
    <w:basedOn w:val="000005"/>
    <w:uiPriority w:val="19"/>
    <w:qFormat w:val="1"/>
    <w:rsid w:val="00FC693F"/>
    <w:rPr>
      <w:i w:val="1"/>
      <w:iCs w:val="1"/>
      <w:color w:val="808080" w:themeColor="text1" w:themeTint="7F"/>
    </w:rPr>
  </w:style>
  <w:style w:type="paragraph" w:styleId="000010">
    <w:name w:val="heading 5"/>
    <w:basedOn w:val="000002"/>
    <w:next w:val="000002"/>
    <w:link w:val="000011"/>
    <w:uiPriority w:val="9"/>
    <w:semiHidden w:val="1"/>
    <w:unhideWhenUsed w:val="1"/>
    <w:qFormat w:val="1"/>
    <w:rsid w:val="00FC693F"/>
    <w:pPr>
      <w:keepNext w:val="1"/>
      <w:keepLines w:val="1"/>
      <w:spacing w:before="200" w:after="0"/>
      <w:outlineLvl w:val="4"/>
    </w:pPr>
    <w:rPr>
      <w:rFonts w:asciiTheme="majorHAnsi" w:hAnsiTheme="majorHAnsi" w:eastAsiaTheme="majorEastAsia" w:cstheme="majorBidi"/>
      <w:color w:val="243F60" w:themeColor="accent1" w:themeShade="7F"/>
    </w:rPr>
  </w:style>
  <w:style w:type="paragraph" w:styleId="000038">
    <w:name w:val="List Continue 2"/>
    <w:basedOn w:val="000002"/>
    <w:uiPriority w:val="99"/>
    <w:unhideWhenUsed w:val="1"/>
    <w:rsid w:val="0029639D"/>
    <w:pPr>
      <w:spacing w:after="120"/>
      <w:ind w:left="720"/>
      <w:contextualSpacing w:val="1"/>
    </w:pPr>
  </w:style>
  <w:style w:type="paragraph" w:styleId="00003c">
    <w:name w:val="Quote"/>
    <w:basedOn w:val="000002"/>
    <w:next w:val="000002"/>
    <w:link w:val="00003d"/>
    <w:uiPriority w:val="29"/>
    <w:qFormat w:val="1"/>
    <w:rsid w:val="00FC693F"/>
    <w:rPr>
      <w:i w:val="1"/>
      <w:iCs w:val="1"/>
      <w:color w:val="000000" w:themeColor="text1"/>
    </w:rPr>
  </w:style>
  <w:style w:type="table" w:styleId="0000a6">
    <w:name w:val="Colorful Grid Accent 1"/>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band1Vert">
      <w:tblPr/>
      <w:tcPr>
        <w:shd w:val="clear" w:color="auto" w:fill="A7BFDE" w:themeFill="accent1" w:themeFillTint="7F"/>
      </w:tcPr>
    </w:tblStylePr>
    <w:tblStylePr w:type="lastCol">
      <w:rPr>
        <w:color w:val="FFFFFF" w:themeColor="background1"/>
      </w:rPr>
      <w:tblPr/>
      <w:tcPr>
        <w:shd w:val="clear" w:color="auto" w:fill="365F91" w:themeFill="accent1" w:themeFillShade="BF"/>
      </w:tcPr>
    </w:tblStylePr>
    <w:tblStylePr w:type="firstCol">
      <w:rPr>
        <w:color w:val="FFFFFF" w:themeColor="background1"/>
      </w:rPr>
      <w:tblPr/>
      <w:tcPr>
        <w:shd w:val="clear" w:color="auto" w:fill="365F91" w:themeFill="accent1" w:themeFillShade="BF"/>
      </w:tcPr>
    </w:tblStylePr>
    <w:tblStylePr w:type="band1Horz">
      <w:tblPr/>
      <w:tcPr>
        <w:shd w:val="clear" w:color="auto" w:fill="A7BFDE" w:themeFill="accent1" w:themeFillTint="7F"/>
      </w:tcPr>
    </w:tblStylePr>
    <w:tblStylePr w:type="lastRow">
      <w:rPr>
        <w:b w:val="1"/>
        <w:bCs w:val="1"/>
        <w:color w:val="000000" w:themeColor="text1"/>
      </w:rPr>
      <w:tblPr/>
      <w:tcPr>
        <w:shd w:val="clear" w:color="auto" w:fill="B8CCE4" w:themeFill="accent1" w:themeFillTint="66"/>
      </w:tcPr>
    </w:tblStylePr>
    <w:tblStylePr w:type="firstRow">
      <w:rPr>
        <w:b w:val="1"/>
        <w:bCs w:val="1"/>
      </w:rPr>
      <w:tblPr/>
      <w:tcPr>
        <w:shd w:val="clear" w:color="auto" w:fill="B8CCE4" w:themeFill="accent1" w:themeFillTint="66"/>
      </w:tcPr>
    </w:tblStylePr>
  </w:style>
  <w:style w:type="paragraph" w:styleId="00001c">
    <w:name w:val="No Spacing"/>
    <w:uiPriority w:val="1"/>
    <w:qFormat w:val="1"/>
    <w:rsid w:val="00FC693F"/>
    <w:pPr>
      <w:spacing w:after="0" w:line="240" w:lineRule="auto"/>
    </w:pPr>
  </w:style>
  <w:style w:type="table" w:styleId="000055">
    <w:name w:val="Light List Accent 4"/>
    <w:basedOn w:val="00001a"/>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Col">
      <w:rPr>
        <w:b w:val="1"/>
        <w:bCs w:val="1"/>
      </w:rPr>
    </w:tblStylePr>
    <w:tblStylePr w:type="firstRow">
      <w:pPr>
        <w:spacing w:before="0" w:after="0" w:line="240" w:lineRule="auto"/>
      </w:pPr>
      <w:rPr>
        <w:b w:val="1"/>
        <w:bCs w:val="1"/>
        <w:color w:val="FFFFFF" w:themeColor="background1"/>
      </w:rPr>
      <w:tblPr/>
      <w:tcPr>
        <w:shd w:val="clear" w:color="auto" w:fill="8064A2" w:themeFill="accent4"/>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pPr>
        <w:spacing w:before="0" w:after="0" w:line="240" w:lineRule="auto"/>
      </w:pPr>
      <w:rPr>
        <w:b w:val="1"/>
        <w:bCs w:val="1"/>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Col">
      <w:rPr>
        <w:b w:val="1"/>
        <w:bCs w:val="1"/>
      </w:rPr>
    </w:tblStylePr>
  </w:style>
  <w:style w:type="table" w:styleId="00009b">
    <w:name w:val="Colorful Shading Accent 4"/>
    <w:basedOn w:val="00001a"/>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nwCell">
      <w:rPr>
        <w:color w:val="000000" w:themeColor="text1"/>
      </w:rPr>
    </w:tblStylePr>
    <w:tblStylePr w:type="band1Horz">
      <w:tblPr/>
      <w:tcPr>
        <w:shd w:val="clear" w:color="auto" w:fill="BFB1D0" w:themeFill="accent4" w:themeFillTint="7F"/>
      </w:tcPr>
    </w:tblStylePr>
    <w:tblStylePr w:type="lastRow">
      <w:rPr>
        <w:b w:val="1"/>
        <w:bCs w:val="1"/>
        <w:color w:val="FFFFFF" w:themeColor="background1"/>
      </w:rPr>
      <w:tblPr/>
      <w:tcPr>
        <w:tcBorders>
          <w:top w:val="single" w:color="FFFFFF" w:themeColor="background1" w:sz="6" w:space="0"/>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firstRow">
      <w:rPr>
        <w:b w:val="1"/>
        <w:bCs w:val="1"/>
      </w:rPr>
      <w:tblPr/>
      <w:tcPr>
        <w:tcBorders>
          <w:top w:val="nil"/>
          <w:left w:val="nil"/>
          <w:bottom w:val="single" w:color="9BBB59" w:themeColor="accent3" w:sz="24" w:space="0"/>
          <w:right w:val="nil"/>
          <w:insideH w:val="nil"/>
          <w:insideV w:val="nil"/>
        </w:tcBorders>
        <w:shd w:val="clear" w:color="auto" w:fill="FFFFFF" w:themeFill="background1"/>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style>
  <w:style w:type="table" w:styleId="000068">
    <w:name w:val="Medium Shading 2 Accent 2"/>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lastCol">
      <w:rPr>
        <w:b w:val="1"/>
        <w:bCs w:val="1"/>
        <w:color w:val="FFFFFF" w:themeColor="background1"/>
      </w:rPr>
      <w:tblPr/>
      <w:tcPr>
        <w:tcBorders>
          <w:left w:val="nil"/>
          <w:right w:val="nil"/>
          <w:insideH w:val="nil"/>
          <w:insideV w:val="nil"/>
        </w:tcBorders>
        <w:shd w:val="clear" w:color="auto" w:fill="C0504D" w:themeFill="accent2"/>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band1Horz">
      <w:tblPr/>
      <w:tcPr>
        <w:shd w:val="clear" w:color="auto" w:fill="D8D8D8" w:themeFill="background1" w:themeFillShade="D8"/>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neCell">
      <w:tblPr/>
      <w:tcPr>
        <w:tcBorders>
          <w:top w:val="single" w:color="auto" w:sz="18" w:space="0"/>
          <w:left w:val="nil"/>
          <w:bottom w:val="single" w:color="auto" w:sz="18" w:space="0"/>
          <w:right w:val="nil"/>
          <w:insideH w:val="nil"/>
          <w:insideV w:val="nil"/>
        </w:tcBorders>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style>
  <w:style w:type="table" w:styleId="000052">
    <w:name w:val="Light List Accent 1"/>
    <w:basedOn w:val="00001a"/>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firstRow">
      <w:pPr>
        <w:spacing w:before="0" w:after="0" w:line="240" w:lineRule="auto"/>
      </w:pPr>
      <w:rPr>
        <w:b w:val="1"/>
        <w:bCs w:val="1"/>
        <w:color w:val="FFFFFF" w:themeColor="background1"/>
      </w:rPr>
      <w:tblPr/>
      <w:tcPr>
        <w:shd w:val="clear" w:color="auto" w:fill="4F81BD" w:themeFill="accent1"/>
      </w:tcPr>
    </w:tblStylePr>
    <w:tblStylePr w:type="lastCol">
      <w:rPr>
        <w:b w:val="1"/>
        <w:bCs w:val="1"/>
      </w:rPr>
    </w:tblStylePr>
    <w:tblStylePr w:type="firstCol">
      <w:rPr>
        <w:b w:val="1"/>
        <w:bCs w:val="1"/>
      </w:rPr>
    </w:tblStylePr>
    <w:tblStylePr w:type="lastRow">
      <w:pPr>
        <w:spacing w:before="0" w:after="0" w:line="240" w:lineRule="auto"/>
      </w:pPr>
      <w:rPr>
        <w:b w:val="1"/>
        <w:bCs w:val="1"/>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paragraph" w:styleId="00001f">
    <w:name w:val="Subtitle"/>
    <w:basedOn w:val="000002"/>
    <w:next w:val="000002"/>
    <w:link w:val="000020"/>
    <w:uiPriority w:val="11"/>
    <w:qFormat w:val="1"/>
    <w:rsid w:val="00FC693F"/>
    <w:pPr>
      <w:numPr>
        <w:ilvl w:val="1"/>
      </w:numPr>
    </w:pPr>
    <w:rPr>
      <w:rFonts w:asciiTheme="majorHAnsi" w:hAnsiTheme="majorHAnsi" w:eastAsiaTheme="majorEastAsia" w:cstheme="majorBidi"/>
      <w:i w:val="1"/>
      <w:iCs w:val="1"/>
      <w:color w:val="4F81BD" w:themeColor="accent1"/>
      <w:spacing w:val="15"/>
      <w:sz w:val="24"/>
      <w:szCs w:val="24"/>
    </w:rPr>
  </w:style>
  <w:style w:type="character" w:styleId="000013" w:customStyle="1">
    <w:name w:val="Heading 6 Char"/>
    <w:basedOn w:val="000005"/>
    <w:link w:val="000012"/>
    <w:uiPriority w:val="9"/>
    <w:semiHidden w:val="1"/>
    <w:rsid w:val="00FC693F"/>
    <w:rPr>
      <w:rFonts w:asciiTheme="majorHAnsi" w:hAnsiTheme="majorHAnsi" w:eastAsiaTheme="majorEastAsia" w:cstheme="majorBidi"/>
      <w:i w:val="1"/>
      <w:iCs w:val="1"/>
      <w:color w:val="243F60" w:themeColor="accent1" w:themeShade="7F"/>
    </w:rPr>
  </w:style>
  <w:style w:type="table" w:styleId="0000aa">
    <w:name w:val="Colorful Grid Accent 5"/>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band1Horz">
      <w:tblPr/>
      <w:tcPr>
        <w:shd w:val="clear" w:color="auto" w:fill="A5D5E2" w:themeFill="accent5" w:themeFillTint="7F"/>
      </w:tcPr>
    </w:tblStylePr>
    <w:tblStylePr w:type="firstRow">
      <w:rPr>
        <w:b w:val="1"/>
        <w:bCs w:val="1"/>
      </w:rPr>
      <w:tblPr/>
      <w:tcPr>
        <w:shd w:val="clear" w:color="auto" w:fill="B6DDE8" w:themeFill="accent5" w:themeFillTint="66"/>
      </w:tcPr>
    </w:tblStylePr>
    <w:tblStylePr w:type="lastRow">
      <w:rPr>
        <w:b w:val="1"/>
        <w:bCs w:val="1"/>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lastCol">
      <w:rPr>
        <w:color w:val="FFFFFF" w:themeColor="background1"/>
      </w:rPr>
      <w:tblPr/>
      <w:tcPr>
        <w:shd w:val="clear" w:color="auto" w:fill="31849B" w:themeFill="accent5" w:themeFillShade="BF"/>
      </w:tcPr>
    </w:tblStylePr>
  </w:style>
  <w:style w:type="table" w:styleId="000056">
    <w:name w:val="Light List Accent 5"/>
    <w:basedOn w:val="00001a"/>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pPr>
        <w:spacing w:before="0" w:after="0" w:line="240" w:lineRule="auto"/>
      </w:pPr>
      <w:rPr>
        <w:b w:val="1"/>
        <w:bCs w:val="1"/>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Col">
      <w:rPr>
        <w:b w:val="1"/>
        <w:bCs w:val="1"/>
      </w:rPr>
    </w:tblStylePr>
    <w:tblStylePr w:type="firstCol">
      <w:rPr>
        <w:b w:val="1"/>
        <w:bCs w:val="1"/>
      </w:rPr>
    </w:tblStylePr>
    <w:tblStylePr w:type="firstRow">
      <w:pPr>
        <w:spacing w:before="0" w:after="0" w:line="240" w:lineRule="auto"/>
      </w:pPr>
      <w:rPr>
        <w:b w:val="1"/>
        <w:bCs w:val="1"/>
        <w:color w:val="FFFFFF" w:themeColor="background1"/>
      </w:rPr>
      <w:tblPr/>
      <w:tcPr>
        <w:shd w:val="clear" w:color="auto" w:fill="4BACC6" w:themeFill="accent5"/>
      </w:tcPr>
    </w:tblStylePr>
  </w:style>
  <w:style w:type="table" w:styleId="000061">
    <w:name w:val="Medium Shading 1 Accent 2"/>
    <w:basedOn w:val="00001a"/>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val="1"/>
        <w:bCs w:val="1"/>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band2Horz">
      <w:tblPr/>
      <w:tcPr>
        <w:tcBorders>
          <w:insideH w:val="nil"/>
          <w:insideV w:val="nil"/>
        </w:tcBorders>
      </w:tcPr>
    </w:tblStylePr>
    <w:tblStylePr w:type="band1Horz">
      <w:tblPr/>
      <w:tcPr>
        <w:tcBorders>
          <w:insideH w:val="nil"/>
          <w:insideV w:val="nil"/>
        </w:tcBorders>
        <w:shd w:val="clear" w:color="auto" w:fill="EFD3D2" w:themeFill="accent2" w:themeFillTint="3F"/>
      </w:tcPr>
    </w:tblStylePr>
    <w:tblStylePr w:type="firstCol">
      <w:rPr>
        <w:b w:val="1"/>
        <w:bCs w:val="1"/>
      </w:rPr>
    </w:tblStylePr>
    <w:tblStylePr w:type="lastRow">
      <w:pPr>
        <w:spacing w:before="0" w:after="0" w:line="240" w:lineRule="auto"/>
      </w:pPr>
      <w:rPr>
        <w:b w:val="1"/>
        <w:bCs w:val="1"/>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lastCol">
      <w:rPr>
        <w:b w:val="1"/>
        <w:bCs w:val="1"/>
      </w:rPr>
    </w:tblStylePr>
    <w:tblStylePr w:type="band1Vert">
      <w:tblPr/>
      <w:tcPr>
        <w:shd w:val="clear" w:color="auto" w:fill="EFD3D2" w:themeFill="accent2" w:themeFillTint="3F"/>
      </w:tcPr>
    </w:tblStylePr>
  </w:style>
  <w:style w:type="table" w:styleId="000099">
    <w:name w:val="Colorful Shading Accent 2"/>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band1Horz">
      <w:tblPr/>
      <w:tcPr>
        <w:shd w:val="clear" w:color="auto" w:fill="DFA7A6" w:themeFill="accent2" w:themeFillTint="7F"/>
      </w:tcPr>
    </w:tblStylePr>
    <w:tblStylePr w:type="band1Vert">
      <w:tblPr/>
      <w:tcPr>
        <w:shd w:val="clear" w:color="auto" w:fill="E5B8B7" w:themeFill="accent2" w:themeFillTint="66"/>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nw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772C2A" w:themeFill="accent2" w:themeFillShade="99"/>
      </w:tc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neCell">
      <w:rPr>
        <w:color w:val="000000" w:themeColor="text1"/>
      </w:rPr>
    </w:tblStylePr>
  </w:style>
  <w:style w:type="paragraph" w:styleId="00002c">
    <w:name w:val="List Bullet"/>
    <w:basedOn w:val="000002"/>
    <w:uiPriority w:val="99"/>
    <w:unhideWhenUsed w:val="1"/>
    <w:rsid w:val="00326F90"/>
    <w:pPr>
      <w:numPr>
        <w:numId w:val="5"/>
      </w:numPr>
      <w:contextualSpacing w:val="1"/>
    </w:pPr>
  </w:style>
  <w:style w:type="table" w:styleId="000083">
    <w:name w:val="Medium Grid 2 Accent 1"/>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nwCell">
      <w:tblPr/>
      <w:tcPr>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band1Vert">
      <w:tblPr/>
      <w:tcPr>
        <w:shd w:val="clear" w:color="auto" w:fill="A7BFDE" w:themeFill="accent1" w:themeFillTint="7F"/>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firstRow">
      <w:rPr>
        <w:b w:val="1"/>
        <w:bCs w:val="1"/>
        <w:color w:val="000000" w:themeColor="text1"/>
      </w:rPr>
      <w:tblPr/>
      <w:tcPr>
        <w:shd w:val="clear" w:color="auto" w:fill="EDF2F8" w:themeFill="accent1" w:themeFillTint="19"/>
      </w:tcPr>
    </w:tblStylePr>
  </w:style>
  <w:style w:type="table" w:styleId="000090">
    <w:name w:val="Dark List"/>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band1Horz">
      <w:tblPr/>
      <w:tcPr>
        <w:tcBorders>
          <w:top w:val="nil"/>
          <w:left w:val="nil"/>
          <w:bottom w:val="nil"/>
          <w:right w:val="nil"/>
          <w:insideH w:val="nil"/>
          <w:insideV w:val="nil"/>
        </w:tcBorders>
        <w:shd w:val="clear" w:color="auto" w:fill="000000" w:themeFill="text1" w:themeFillShade="BF"/>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style>
  <w:style w:type="table" w:styleId="000072">
    <w:name w:val="Medium List 1 Accent 5"/>
    <w:basedOn w:val="00001a"/>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firstCol">
      <w:rPr>
        <w:b w:val="1"/>
        <w:bCs w:val="1"/>
      </w:rPr>
    </w:tblStylePr>
    <w:tblStylePr w:type="lastRow">
      <w:rPr>
        <w:b w:val="1"/>
        <w:bCs w:val="1"/>
        <w:color w:val="1F497D" w:themeColor="text2"/>
      </w:rPr>
      <w:tblPr/>
      <w:tcPr>
        <w:tcBorders>
          <w:top w:val="single" w:color="4BACC6" w:themeColor="accent5" w:sz="8" w:space="0"/>
          <w:bottom w:val="single" w:color="4BACC6" w:themeColor="accent5" w:sz="8" w:space="0"/>
        </w:tcBorders>
      </w:tcPr>
    </w:tblStylePr>
    <w:tblStylePr w:type="lastCol">
      <w:rPr>
        <w:b w:val="1"/>
        <w:bCs w:val="1"/>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0000a1">
    <w:name w:val="Colorful List Accent 3"/>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band1Horz">
      <w:tblPr/>
      <w:tcPr>
        <w:shd w:val="clear" w:color="auto" w:fill="EAF1DD" w:themeFill="accent3" w:themeFillTint="33"/>
      </w:tcPr>
    </w:tblStylePr>
    <w:tblStylePr w:type="firstCol">
      <w:rPr>
        <w:b w:val="1"/>
        <w:bCs w:val="1"/>
      </w:rPr>
    </w:tblStylePr>
    <w:tblStylePr w:type="lastRow">
      <w:rPr>
        <w:b w:val="1"/>
        <w:bCs w:val="1"/>
        <w:color w:val="664E82" w:themeColor="accent4"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firstRow">
      <w:rPr>
        <w:b w:val="1"/>
        <w:bCs w:val="1"/>
        <w:color w:val="FFFFFF" w:themeColor="background1"/>
      </w:rPr>
      <w:tblPr/>
      <w:tcPr>
        <w:tcBorders>
          <w:bottom w:val="single" w:color="FFFFFF" w:themeColor="background1" w:sz="12" w:space="0"/>
        </w:tcBorders>
        <w:shd w:val="clear" w:color="auto" w:fill="664E82" w:themeFill="accent4" w:themeFillShade="CC"/>
      </w:tcPr>
    </w:tblStylePr>
    <w:tblStylePr w:type="lastCol">
      <w:rPr>
        <w:b w:val="1"/>
        <w:bCs w:val="1"/>
      </w:rPr>
    </w:tblStylePr>
  </w:style>
  <w:style w:type="table" w:styleId="00009e">
    <w:name w:val="Colorful List"/>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band1Horz">
      <w:tblPr/>
      <w:tcPr>
        <w:shd w:val="clear" w:color="auto" w:fill="CCCCCC" w:themeFill="text1" w:themeFillTint="33"/>
      </w:tcPr>
    </w:tblStylePr>
    <w:tblStylePr w:type="lastCol">
      <w:rPr>
        <w:b w:val="1"/>
        <w:bCs w:val="1"/>
      </w:rPr>
    </w:tblStylePr>
    <w:tblStylePr w:type="firstCol">
      <w:rPr>
        <w:b w:val="1"/>
        <w:bCs w:val="1"/>
      </w:rPr>
    </w:tblStylePr>
  </w:style>
  <w:style w:type="table" w:styleId="00004f">
    <w:name w:val="Light Shading Accent 5"/>
    <w:basedOn w:val="00001a"/>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Col">
      <w:rPr>
        <w:b w:val="1"/>
        <w:bCs w:val="1"/>
      </w:rPr>
    </w:tblStylePr>
    <w:tblStylePr w:type="lastCol">
      <w:rPr>
        <w:b w:val="1"/>
        <w:bCs w:val="1"/>
      </w:rPr>
    </w:tblStylePr>
    <w:tblStylePr w:type="band1Horz">
      <w:tblPr/>
      <w:tcPr>
        <w:tcBorders>
          <w:left w:val="nil"/>
          <w:right w:val="nil"/>
          <w:insideH w:val="nil"/>
          <w:insideV w:val="nil"/>
        </w:tcBorders>
        <w:shd w:val="clear" w:color="auto" w:fill="D2EAF1" w:themeFill="accent5" w:themeFillTint="3F"/>
      </w:tcPr>
    </w:tblStylePr>
    <w:tblStylePr w:type="lastRow">
      <w:pPr>
        <w:spacing w:before="0" w:after="0" w:line="240" w:lineRule="auto"/>
      </w:pPr>
      <w:rPr>
        <w:b w:val="1"/>
        <w:bCs w:val="1"/>
      </w:rPr>
      <w:tblPr/>
      <w:tcPr>
        <w:tcBorders>
          <w:top w:val="single" w:color="4BACC6" w:themeColor="accent5" w:sz="8" w:space="0"/>
          <w:left w:val="nil"/>
          <w:bottom w:val="single" w:color="4BACC6" w:themeColor="accent5" w:sz="8" w:space="0"/>
          <w:right w:val="nil"/>
          <w:insideH w:val="nil"/>
          <w:insideV w:val="nil"/>
        </w:tcBorders>
      </w:tcPr>
    </w:tblStylePr>
    <w:tblStylePr w:type="firstRow">
      <w:pPr>
        <w:spacing w:before="0" w:after="0" w:line="240" w:lineRule="auto"/>
      </w:pPr>
      <w:rPr>
        <w:b w:val="1"/>
        <w:bCs w:val="1"/>
      </w:rPr>
      <w:tblPr/>
      <w:tcPr>
        <w:tcBorders>
          <w:top w:val="single" w:color="4BACC6" w:themeColor="accent5" w:sz="8" w:space="0"/>
          <w:left w:val="nil"/>
          <w:bottom w:val="single" w:color="4BACC6" w:themeColor="accent5" w:sz="8" w:space="0"/>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style>
  <w:style w:type="character" w:styleId="00000f" w:customStyle="1">
    <w:name w:val="Heading 4 Char"/>
    <w:basedOn w:val="000005"/>
    <w:link w:val="00000e"/>
    <w:uiPriority w:val="9"/>
    <w:semiHidden w:val="1"/>
    <w:rsid w:val="00FC693F"/>
    <w:rPr>
      <w:rFonts w:asciiTheme="majorHAnsi" w:hAnsiTheme="majorHAnsi" w:eastAsiaTheme="majorEastAsia" w:cstheme="majorBidi"/>
      <w:b w:val="1"/>
      <w:bCs w:val="1"/>
      <w:i w:val="1"/>
      <w:iCs w:val="1"/>
      <w:color w:val="4F81BD" w:themeColor="accent1"/>
    </w:rPr>
  </w:style>
  <w:style w:type="character" w:styleId="000004" w:customStyle="1">
    <w:name w:val="Header Char"/>
    <w:basedOn w:val="000005"/>
    <w:link w:val="000003"/>
    <w:uiPriority w:val="99"/>
    <w:rsid w:val="00E618BF"/>
  </w:style>
  <w:style w:type="table" w:styleId="000059">
    <w:name w:val="Light Grid Accent 1"/>
    <w:basedOn w:val="00001a"/>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lastCol">
      <w:rPr>
        <w:rFonts w:asciiTheme="majorHAnsi" w:hAnsiTheme="majorHAnsi" w:eastAsiaTheme="majorEastAsia" w:cstheme="majorBidi"/>
        <w:b w:val="1"/>
        <w:bCs w:val="1"/>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firstRow">
      <w:pPr>
        <w:spacing w:before="0" w:after="0" w:line="240" w:lineRule="auto"/>
      </w:pPr>
      <w:rPr>
        <w:rFonts w:asciiTheme="majorHAnsi" w:hAnsiTheme="majorHAnsi" w:eastAsiaTheme="majorEastAsia" w:cstheme="majorBidi"/>
        <w:b w:val="1"/>
        <w:bCs w:val="1"/>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val="1"/>
        <w:bCs w:val="1"/>
      </w:r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style>
  <w:style w:type="table" w:styleId="00009a">
    <w:name w:val="Colorful Shading Accent 3"/>
    <w:basedOn w:val="00001a"/>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val="1"/>
        <w:bCs w:val="1"/>
      </w:rPr>
      <w:tblPr/>
      <w:tcPr>
        <w:tcBorders>
          <w:top w:val="nil"/>
          <w:left w:val="nil"/>
          <w:bottom w:val="single" w:color="8064A2" w:themeColor="accent4" w:sz="24" w:space="0"/>
          <w:right w:val="nil"/>
          <w:insideH w:val="nil"/>
          <w:insideV w:val="nil"/>
        </w:tcBorders>
        <w:shd w:val="clear" w:color="auto" w:fill="FFFFFF" w:themeFill="background1"/>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lastRow">
      <w:rPr>
        <w:b w:val="1"/>
        <w:bCs w:val="1"/>
        <w:color w:val="FFFFFF" w:themeColor="background1"/>
      </w:rPr>
      <w:tblPr/>
      <w:tcPr>
        <w:tcBorders>
          <w:top w:val="single" w:color="FFFFFF" w:themeColor="background1" w:sz="6" w:space="0"/>
        </w:tcBorders>
        <w:shd w:val="clear" w:color="auto" w:fill="5E7530" w:themeFill="accent3" w:themeFillShade="99"/>
      </w:tcPr>
    </w:tblStylePr>
  </w:style>
  <w:style w:type="character" w:styleId="00001e" w:customStyle="1">
    <w:name w:val="Title Char"/>
    <w:basedOn w:val="000005"/>
    <w:link w:val="00001d"/>
    <w:uiPriority w:val="10"/>
    <w:rsid w:val="00FC693F"/>
    <w:rPr>
      <w:rFonts w:asciiTheme="majorHAnsi" w:hAnsiTheme="majorHAnsi" w:eastAsiaTheme="majorEastAsia" w:cstheme="majorBidi"/>
      <w:color w:val="17365D" w:themeColor="text2" w:themeShade="BF"/>
      <w:spacing w:val="5"/>
      <w:kern w:val="28"/>
      <w:sz w:val="52"/>
      <w:szCs w:val="52"/>
    </w:rPr>
  </w:style>
  <w:style w:type="table" w:styleId="00008c">
    <w:name w:val="Medium Grid 3 Accent 3"/>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00005a">
    <w:name w:val="Light Grid Accent 2"/>
    <w:basedOn w:val="00001a"/>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val="1"/>
        <w:bCs w:val="1"/>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val="1"/>
        <w:bCs w:val="1"/>
      </w:r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tblStylePr w:type="lastCol">
      <w:rPr>
        <w:rFonts w:asciiTheme="majorHAnsi" w:hAnsiTheme="majorHAnsi" w:eastAsiaTheme="majorEastAsia" w:cstheme="majorBidi"/>
        <w:b w:val="1"/>
        <w:bCs w:val="1"/>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style>
  <w:style w:type="table" w:styleId="000064">
    <w:name w:val="Medium Shading 1 Accent 5"/>
    <w:basedOn w:val="00001a"/>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Col">
      <w:rPr>
        <w:b w:val="1"/>
        <w:bCs w:val="1"/>
      </w:rPr>
    </w:tblStylePr>
    <w:tblStylePr w:type="lastRow">
      <w:pPr>
        <w:spacing w:before="0" w:after="0" w:line="240" w:lineRule="auto"/>
      </w:pPr>
      <w:rPr>
        <w:b w:val="1"/>
        <w:bCs w:val="1"/>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tblStylePr w:type="lastCol">
      <w:rPr>
        <w:b w:val="1"/>
        <w:bCs w:val="1"/>
      </w:rPr>
    </w:tblStylePr>
    <w:tblStylePr w:type="firstRow">
      <w:pPr>
        <w:spacing w:before="0" w:after="0" w:line="240" w:lineRule="auto"/>
      </w:pPr>
      <w:rPr>
        <w:b w:val="1"/>
        <w:bCs w:val="1"/>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band1Vert">
      <w:tblPr/>
      <w:tcPr>
        <w:shd w:val="clear" w:color="auto" w:fill="D2EAF1" w:themeFill="accent5" w:themeFillTint="3F"/>
      </w:tcPr>
    </w:tblStylePr>
  </w:style>
  <w:style w:type="character" w:styleId="000025" w:customStyle="1">
    <w:name w:val="Body Text 2 Char"/>
    <w:basedOn w:val="000005"/>
    <w:link w:val="000024"/>
    <w:uiPriority w:val="99"/>
    <w:rsid w:val="00AA1D8D"/>
  </w:style>
  <w:style w:type="table" w:styleId="00009c">
    <w:name w:val="Colorful Shading Accent 5"/>
    <w:basedOn w:val="00001a"/>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Horz">
      <w:tblPr/>
      <w:tcPr>
        <w:shd w:val="clear" w:color="auto" w:fill="A5D5E2" w:themeFill="accent5" w:themeFillTint="7F"/>
      </w:tcPr>
    </w:tblStylePr>
    <w:tblStylePr w:type="band1Vert">
      <w:tblPr/>
      <w:tcPr>
        <w:shd w:val="clear" w:color="auto" w:fill="B6DDE8" w:themeFill="accent5" w:themeFillTint="66"/>
      </w:tcPr>
    </w:tblStylePr>
    <w:tblStylePr w:type="nwCell">
      <w:rPr>
        <w:color w:val="000000" w:themeColor="text1"/>
      </w:rPr>
    </w:tblStylePr>
    <w:tblStylePr w:type="firstRow">
      <w:rPr>
        <w:b w:val="1"/>
        <w:bCs w:val="1"/>
      </w:rPr>
      <w:tblPr/>
      <w:tcPr>
        <w:tcBorders>
          <w:top w:val="nil"/>
          <w:left w:val="nil"/>
          <w:bottom w:val="single" w:color="F79646" w:themeColor="accent6" w:sz="24" w:space="0"/>
          <w:right w:val="nil"/>
          <w:insideH w:val="nil"/>
          <w:insideV w:val="nil"/>
        </w:tcBorders>
        <w:shd w:val="clear" w:color="auto" w:fill="FFFFFF" w:themeFill="background1"/>
      </w:tcPr>
    </w:tblStylePr>
    <w:tblStylePr w:type="ne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276A7C" w:themeFill="accent5" w:themeFillShade="99"/>
      </w:tcPr>
    </w:tblStylePr>
  </w:style>
  <w:style w:type="character" w:styleId="000005" w:default="1">
    <w:name w:val="Default Paragraph Font"/>
    <w:uiPriority w:val="1"/>
    <w:semiHidden w:val="1"/>
    <w:unhideWhenUsed w:val="1"/>
  </w:style>
  <w:style w:type="table" w:styleId="00008e">
    <w:name w:val="Medium Grid 3 Accent 5"/>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style>
  <w:style w:type="table" w:styleId="000093">
    <w:name w:val="Dark List Accent 3"/>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band1Horz">
      <w:tblPr/>
      <w:tcPr>
        <w:tcBorders>
          <w:top w:val="nil"/>
          <w:left w:val="nil"/>
          <w:bottom w:val="nil"/>
          <w:right w:val="nil"/>
          <w:insideH w:val="nil"/>
          <w:insideV w:val="nil"/>
        </w:tcBorders>
        <w:shd w:val="clear" w:color="auto" w:fill="76923C" w:themeFill="accent3"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style>
  <w:style w:type="paragraph" w:styleId="00000e">
    <w:name w:val="heading 4"/>
    <w:basedOn w:val="000002"/>
    <w:next w:val="000002"/>
    <w:link w:val="00000f"/>
    <w:uiPriority w:val="9"/>
    <w:semiHidden w:val="1"/>
    <w:unhideWhenUsed w:val="1"/>
    <w:qFormat w:val="1"/>
    <w:rsid w:val="00FC693F"/>
    <w:pPr>
      <w:keepNext w:val="1"/>
      <w:keepLines w:val="1"/>
      <w:spacing w:before="200" w:after="0"/>
      <w:outlineLvl w:val="3"/>
    </w:pPr>
    <w:rPr>
      <w:rFonts w:asciiTheme="majorHAnsi" w:hAnsiTheme="majorHAnsi" w:eastAsiaTheme="majorEastAsia" w:cstheme="majorBidi"/>
      <w:b w:val="1"/>
      <w:bCs w:val="1"/>
      <w:i w:val="1"/>
      <w:iCs w:val="1"/>
      <w:color w:val="4F81BD" w:themeColor="accent1"/>
    </w:rPr>
  </w:style>
  <w:style w:type="table" w:styleId="0000a5">
    <w:name w:val="Colorful Grid"/>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band1Vert">
      <w:tblPr/>
      <w:tcPr>
        <w:shd w:val="clear" w:color="auto" w:fill="808080" w:themeFill="text1" w:themeFillTint="7F"/>
      </w:tcPr>
    </w:tblStylePr>
    <w:tblStylePr w:type="lastRow">
      <w:rPr>
        <w:b w:val="1"/>
        <w:bCs w:val="1"/>
        <w:color w:val="000000" w:themeColor="text1"/>
      </w:rPr>
      <w:tblPr/>
      <w:tcPr>
        <w:shd w:val="clear" w:color="auto" w:fill="999999" w:themeFill="text1" w:themeFillTint="66"/>
      </w:tcPr>
    </w:tblStylePr>
    <w:tblStylePr w:type="band1Horz">
      <w:tblPr/>
      <w:tcPr>
        <w:shd w:val="clear" w:color="auto" w:fill="808080" w:themeFill="text1" w:themeFillTint="7F"/>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firstRow">
      <w:rPr>
        <w:b w:val="1"/>
        <w:bCs w:val="1"/>
      </w:rPr>
      <w:tblPr/>
      <w:tcPr>
        <w:shd w:val="clear" w:color="auto" w:fill="999999" w:themeFill="text1" w:themeFillTint="66"/>
      </w:tcPr>
    </w:tblStylePr>
  </w:style>
  <w:style w:type="character" w:styleId="000027" w:customStyle="1">
    <w:name w:val="Body Text 3 Char"/>
    <w:basedOn w:val="000005"/>
    <w:link w:val="000026"/>
    <w:uiPriority w:val="99"/>
    <w:rsid w:val="00AA1D8D"/>
    <w:rPr>
      <w:sz w:val="16"/>
      <w:szCs w:val="16"/>
    </w:rPr>
  </w:style>
  <w:style w:type="table" w:styleId="00006a">
    <w:name w:val="Medium Shading 2 Accent 4"/>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Col">
      <w:rPr>
        <w:b w:val="1"/>
        <w:bCs w:val="1"/>
        <w:color w:val="FFFFFF" w:themeColor="background1"/>
      </w:rPr>
      <w:tblPr/>
      <w:tcPr>
        <w:tcBorders>
          <w:left w:val="nil"/>
          <w:right w:val="nil"/>
          <w:insideH w:val="nil"/>
          <w:insideV w:val="nil"/>
        </w:tcBorders>
        <w:shd w:val="clear" w:color="auto" w:fill="8064A2" w:themeFill="accent4"/>
      </w:tcPr>
    </w:tblStylePr>
    <w:tblStylePr w:type="neCell">
      <w:tblPr/>
      <w:tcPr>
        <w:tcBorders>
          <w:top w:val="single" w:color="auto" w:sz="18" w:space="0"/>
          <w:left w:val="nil"/>
          <w:bottom w:val="single" w:color="auto" w:sz="18" w:space="0"/>
          <w:right w:val="nil"/>
          <w:insideH w:val="nil"/>
          <w:insideV w:val="nil"/>
        </w:tcBorders>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band1Horz">
      <w:tblPr/>
      <w:tcPr>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style>
  <w:style w:type="table" w:styleId="00005f">
    <w:name w:val="Medium Shading 1"/>
    <w:basedOn w:val="00001a"/>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band2Horz">
      <w:tblPr/>
      <w:tcPr>
        <w:tcBorders>
          <w:insideH w:val="nil"/>
          <w:insideV w:val="nil"/>
        </w:tcBorders>
      </w:tcPr>
    </w:tblStylePr>
    <w:tblStylePr w:type="firstCol">
      <w:rPr>
        <w:b w:val="1"/>
        <w:bCs w:val="1"/>
      </w:rPr>
    </w:tblStylePr>
    <w:tblStylePr w:type="lastRow">
      <w:pPr>
        <w:spacing w:before="0" w:after="0" w:line="240" w:lineRule="auto"/>
      </w:pPr>
      <w:rPr>
        <w:b w:val="1"/>
        <w:bCs w:val="1"/>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lastCol">
      <w:rPr>
        <w:b w:val="1"/>
        <w:bCs w:val="1"/>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firstRow">
      <w:pPr>
        <w:spacing w:before="0" w:after="0" w:line="240" w:lineRule="auto"/>
      </w:pPr>
      <w:rPr>
        <w:b w:val="1"/>
        <w:bCs w:val="1"/>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style>
  <w:style w:type="table" w:styleId="00008d">
    <w:name w:val="Medium Grid 3 Accent 4"/>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style>
  <w:style w:type="table" w:styleId="000091">
    <w:name w:val="Dark List Accent 1"/>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band1Horz">
      <w:tblPr/>
      <w:tcPr>
        <w:tcBorders>
          <w:top w:val="nil"/>
          <w:left w:val="nil"/>
          <w:bottom w:val="nil"/>
          <w:right w:val="nil"/>
          <w:insideH w:val="nil"/>
          <w:insideV w:val="nil"/>
        </w:tcBorders>
        <w:shd w:val="clear" w:color="auto" w:fill="365F91" w:themeFill="accent1" w:themeFillShade="B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style>
  <w:style w:type="paragraph" w:styleId="000026">
    <w:name w:val="Body Text 3"/>
    <w:basedOn w:val="000002"/>
    <w:link w:val="000027"/>
    <w:uiPriority w:val="99"/>
    <w:unhideWhenUsed w:val="1"/>
    <w:rsid w:val="00AA1D8D"/>
    <w:pPr>
      <w:spacing w:after="120"/>
    </w:pPr>
    <w:rPr>
      <w:sz w:val="16"/>
      <w:szCs w:val="16"/>
    </w:rPr>
  </w:style>
  <w:style w:type="table" w:styleId="000085">
    <w:name w:val="Medium Grid 2 Accent 3"/>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nwCell">
      <w:tblPr/>
      <w:tcPr>
        <w:shd w:val="clear" w:color="auto" w:fill="FFFFFF" w:themeFill="background1"/>
      </w:tcPr>
    </w:tblStylePr>
    <w:tblStylePr w:type="firstRow">
      <w:rPr>
        <w:b w:val="1"/>
        <w:bCs w:val="1"/>
        <w:color w:val="000000" w:themeColor="text1"/>
      </w:rPr>
      <w:tblPr/>
      <w:tcPr>
        <w:shd w:val="clear" w:color="auto" w:fill="F5F8EE" w:themeFill="accent3"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band1Vert">
      <w:tblPr/>
      <w:tcPr>
        <w:shd w:val="clear" w:color="auto" w:fill="CDDDAC" w:themeFill="accent3" w:themeFillTint="7F"/>
      </w:tcPr>
    </w:tblStylePr>
  </w:style>
  <w:style w:type="table" w:styleId="00009d">
    <w:name w:val="Colorful Shading Accent 6"/>
    <w:basedOn w:val="00001a"/>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neCell">
      <w:rPr>
        <w:color w:val="000000" w:themeColor="text1"/>
      </w:rPr>
    </w:tblStylePr>
    <w:tblStylePr w:type="band1Vert">
      <w:tblPr/>
      <w:tcPr>
        <w:shd w:val="clear" w:color="auto" w:fill="FBD4B4" w:themeFill="accent6" w:themeFillTint="66"/>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firstRow">
      <w:rPr>
        <w:b w:val="1"/>
        <w:bCs w:val="1"/>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val="1"/>
        <w:bCs w:val="1"/>
        <w:color w:val="FFFFFF" w:themeColor="background1"/>
      </w:rPr>
      <w:tblPr/>
      <w:tcPr>
        <w:tcBorders>
          <w:top w:val="single" w:color="FFFFFF" w:themeColor="background1" w:sz="6" w:space="0"/>
        </w:tcBorders>
        <w:shd w:val="clear" w:color="auto" w:fill="B65608" w:themeFill="accent6" w:themeFillShade="99"/>
      </w:tcPr>
    </w:tblStylePr>
    <w:tblStylePr w:type="nwCell">
      <w:rPr>
        <w:color w:val="000000" w:themeColor="text1"/>
      </w:r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Horz">
      <w:tblPr/>
      <w:tcPr>
        <w:shd w:val="clear" w:color="auto" w:fill="FBCAA2" w:themeFill="accent6" w:themeFillTint="7F"/>
      </w:tcPr>
    </w:tblStylePr>
  </w:style>
  <w:style w:type="paragraph" w:styleId="000036">
    <w:name w:val="List Number 3"/>
    <w:basedOn w:val="000002"/>
    <w:uiPriority w:val="99"/>
    <w:unhideWhenUsed w:val="1"/>
    <w:rsid w:val="0029639D"/>
    <w:pPr>
      <w:numPr>
        <w:numId w:val="6"/>
      </w:numPr>
      <w:contextualSpacing w:val="1"/>
    </w:pPr>
  </w:style>
  <w:style w:type="paragraph" w:styleId="00002a">
    <w:name w:val="List 3"/>
    <w:basedOn w:val="000002"/>
    <w:uiPriority w:val="99"/>
    <w:unhideWhenUsed w:val="1"/>
    <w:rsid w:val="00326F90"/>
    <w:pPr>
      <w:ind w:left="1080" w:hanging="360"/>
      <w:contextualSpacing w:val="1"/>
    </w:pPr>
  </w:style>
  <w:style w:type="character" w:styleId="000040">
    <w:name w:val="Emphasis"/>
    <w:basedOn w:val="000005"/>
    <w:uiPriority w:val="20"/>
    <w:qFormat w:val="1"/>
    <w:rsid w:val="00FC693F"/>
    <w:rPr>
      <w:i w:val="1"/>
      <w:iCs w:val="1"/>
    </w:rPr>
  </w:style>
  <w:style w:type="character" w:styleId="000020" w:customStyle="1">
    <w:name w:val="Subtitle Char"/>
    <w:basedOn w:val="000005"/>
    <w:link w:val="00001f"/>
    <w:uiPriority w:val="11"/>
    <w:rsid w:val="00FC693F"/>
    <w:rPr>
      <w:rFonts w:asciiTheme="majorHAnsi" w:hAnsiTheme="majorHAnsi" w:eastAsiaTheme="majorEastAsia" w:cstheme="majorBidi"/>
      <w:i w:val="1"/>
      <w:iCs w:val="1"/>
      <w:color w:val="4F81BD" w:themeColor="accent1"/>
      <w:spacing w:val="15"/>
      <w:sz w:val="24"/>
      <w:szCs w:val="24"/>
    </w:rPr>
  </w:style>
  <w:style w:type="table" w:styleId="000060">
    <w:name w:val="Medium Shading 1 Accent 1"/>
    <w:basedOn w:val="00001a"/>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val="1"/>
        <w:bCs w:val="1"/>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Col">
      <w:rPr>
        <w:b w:val="1"/>
        <w:bCs w:val="1"/>
      </w:rPr>
    </w:tblStylePr>
    <w:tblStylePr w:type="band2Horz">
      <w:tblPr/>
      <w:tcPr>
        <w:tcBorders>
          <w:insideH w:val="nil"/>
          <w:insideV w:val="nil"/>
        </w:tcBorders>
      </w:tcPr>
    </w:tblStylePr>
    <w:tblStylePr w:type="band1Horz">
      <w:tblPr/>
      <w:tcPr>
        <w:tcBorders>
          <w:insideH w:val="nil"/>
          <w:insideV w:val="nil"/>
        </w:tcBorders>
        <w:shd w:val="clear" w:color="auto" w:fill="D3DFEE" w:themeFill="accent1" w:themeFillTint="3F"/>
      </w:tcPr>
    </w:tblStylePr>
    <w:tblStylePr w:type="firstCol">
      <w:rPr>
        <w:b w:val="1"/>
        <w:bCs w:val="1"/>
      </w:rPr>
    </w:tblStylePr>
    <w:tblStylePr w:type="lastRow">
      <w:pPr>
        <w:spacing w:before="0" w:after="0" w:line="240" w:lineRule="auto"/>
      </w:pPr>
      <w:rPr>
        <w:b w:val="1"/>
        <w:bCs w:val="1"/>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band1Vert">
      <w:tblPr/>
      <w:tcPr>
        <w:shd w:val="clear" w:color="auto" w:fill="D3DFEE" w:themeFill="accent1" w:themeFillTint="3F"/>
      </w:tcPr>
    </w:tblStylePr>
  </w:style>
  <w:style w:type="paragraph" w:styleId="00000c">
    <w:name w:val="heading 3"/>
    <w:basedOn w:val="000002"/>
    <w:next w:val="000002"/>
    <w:link w:val="00000d"/>
    <w:uiPriority w:val="9"/>
    <w:unhideWhenUsed w:val="1"/>
    <w:qFormat w:val="1"/>
    <w:rsid w:val="00FC693F"/>
    <w:pPr>
      <w:keepNext w:val="1"/>
      <w:keepLines w:val="1"/>
      <w:spacing w:before="200" w:after="0"/>
      <w:outlineLvl w:val="2"/>
    </w:pPr>
    <w:rPr>
      <w:rFonts w:asciiTheme="majorHAnsi" w:hAnsiTheme="majorHAnsi" w:eastAsiaTheme="majorEastAsia" w:cstheme="majorBidi"/>
      <w:b w:val="1"/>
      <w:bCs w:val="1"/>
      <w:color w:val="4F81BD" w:themeColor="accent1"/>
    </w:rPr>
  </w:style>
  <w:style w:type="table" w:styleId="00007a">
    <w:name w:val="Medium List 2 Accent 6"/>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swCell">
      <w:tblPr/>
      <w:tcPr>
        <w:tcBorders>
          <w:top w:val="nil"/>
        </w:tcBorders>
      </w:tcPr>
    </w:tblStylePr>
    <w:tblStylePr w:type="nwCell">
      <w:tblPr/>
      <w:tcPr>
        <w:shd w:val="clear" w:color="auto" w:fill="FFFFFF" w:themeFill="background1"/>
      </w:tcPr>
    </w:tblStyle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style>
  <w:style w:type="table" w:styleId="00007f">
    <w:name w:val="Medium Grid 1 Accent 4"/>
    <w:basedOn w:val="00001a"/>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Col">
      <w:rPr>
        <w:b w:val="1"/>
        <w:bCs w:val="1"/>
      </w:rPr>
    </w:tblStylePr>
    <w:tblStylePr w:type="lastCol">
      <w:rPr>
        <w:b w:val="1"/>
        <w:bCs w:val="1"/>
      </w:rPr>
    </w:tblStylePr>
    <w:tblStylePr w:type="lastRow">
      <w:rPr>
        <w:b w:val="1"/>
        <w:bCs w:val="1"/>
      </w:rPr>
      <w:tblPr/>
      <w:tcPr>
        <w:tcBorders>
          <w:top w:val="single" w:color="9F8AB9" w:themeColor="accent4" w:themeTint="BF" w:sz="18" w:space="0"/>
        </w:tcBorders>
      </w:tcPr>
    </w:tblStylePr>
    <w:tblStylePr w:type="band1Vert">
      <w:tblPr/>
      <w:tcPr>
        <w:shd w:val="clear" w:color="auto" w:fill="BFB1D0" w:themeFill="accent4" w:themeFillTint="7F"/>
      </w:tcPr>
    </w:tblStylePr>
    <w:tblStylePr w:type="firstRow">
      <w:rPr>
        <w:b w:val="1"/>
        <w:bCs w:val="1"/>
      </w:rPr>
    </w:tblStylePr>
    <w:tblStylePr w:type="band1Horz">
      <w:tblPr/>
      <w:tcPr>
        <w:shd w:val="clear" w:color="auto" w:fill="BFB1D0" w:themeFill="accent4" w:themeFillTint="7F"/>
      </w:tcPr>
    </w:tblStylePr>
  </w:style>
  <w:style w:type="paragraph" w:styleId="000032">
    <w:name w:val="List Number"/>
    <w:basedOn w:val="000002"/>
    <w:uiPriority w:val="99"/>
    <w:unhideWhenUsed w:val="1"/>
    <w:rsid w:val="00326F90"/>
    <w:pPr>
      <w:numPr>
        <w:numId w:val="7"/>
      </w:numPr>
      <w:contextualSpacing w:val="1"/>
    </w:pPr>
  </w:style>
  <w:style w:type="table" w:styleId="000053">
    <w:name w:val="Light List Accent 2"/>
    <w:basedOn w:val="00001a"/>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firstCol">
      <w:rPr>
        <w:b w:val="1"/>
        <w:bCs w:val="1"/>
      </w:rPr>
    </w:tblStylePr>
    <w:tblStylePr w:type="lastRow">
      <w:pPr>
        <w:spacing w:before="0" w:after="0" w:line="240" w:lineRule="auto"/>
      </w:pPr>
      <w:rPr>
        <w:b w:val="1"/>
        <w:bCs w:val="1"/>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lastCol">
      <w:rPr>
        <w:b w:val="1"/>
        <w:bCs w:val="1"/>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firstRow">
      <w:pPr>
        <w:spacing w:before="0" w:after="0" w:line="240" w:lineRule="auto"/>
      </w:pPr>
      <w:rPr>
        <w:b w:val="1"/>
        <w:bCs w:val="1"/>
        <w:color w:val="FFFFFF" w:themeColor="background1"/>
      </w:rPr>
      <w:tblPr/>
      <w:tcPr>
        <w:shd w:val="clear" w:color="auto" w:fill="C0504D" w:themeFill="accent2"/>
      </w:tcPr>
    </w:tblStylePr>
  </w:style>
  <w:style w:type="paragraph" w:styleId="000012">
    <w:name w:val="heading 6"/>
    <w:basedOn w:val="000002"/>
    <w:next w:val="000002"/>
    <w:link w:val="000013"/>
    <w:uiPriority w:val="9"/>
    <w:semiHidden w:val="1"/>
    <w:unhideWhenUsed w:val="1"/>
    <w:qFormat w:val="1"/>
    <w:rsid w:val="00FC693F"/>
    <w:pPr>
      <w:keepNext w:val="1"/>
      <w:keepLines w:val="1"/>
      <w:spacing w:before="200" w:after="0"/>
      <w:outlineLvl w:val="5"/>
    </w:pPr>
    <w:rPr>
      <w:rFonts w:asciiTheme="majorHAnsi" w:hAnsiTheme="majorHAnsi" w:eastAsiaTheme="majorEastAsia" w:cstheme="majorBidi"/>
      <w:i w:val="1"/>
      <w:iCs w:val="1"/>
      <w:color w:val="243F60" w:themeColor="accent1" w:themeShade="7F"/>
    </w:rPr>
  </w:style>
  <w:style w:type="table" w:styleId="000058">
    <w:name w:val="Light Grid"/>
    <w:basedOn w:val="00001a"/>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Col">
      <w:rPr>
        <w:rFonts w:asciiTheme="majorHAnsi" w:hAnsiTheme="majorHAnsi" w:eastAsiaTheme="majorEastAsia" w:cstheme="majorBidi"/>
        <w:b w:val="1"/>
        <w:bCs w:val="1"/>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lastCol">
      <w:rPr>
        <w:rFonts w:asciiTheme="majorHAnsi" w:hAnsiTheme="majorHAnsi" w:eastAsiaTheme="majorEastAsia" w:cstheme="majorBidi"/>
        <w:b w:val="1"/>
        <w:bCs w:val="1"/>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style>
  <w:style w:type="table" w:styleId="00004e">
    <w:name w:val="Light Shading Accent 4"/>
    <w:basedOn w:val="00001a"/>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FD8E8" w:themeFill="accent4" w:themeFillTint="3F"/>
      </w:tcPr>
    </w:tblStylePr>
    <w:tblStylePr w:type="lastCol">
      <w:rPr>
        <w:b w:val="1"/>
        <w:bCs w:val="1"/>
      </w:rPr>
    </w:tblStylePr>
    <w:tblStylePr w:type="firstCol">
      <w:rPr>
        <w:b w:val="1"/>
        <w:bCs w:val="1"/>
      </w:rPr>
    </w:tblStylePr>
    <w:tblStylePr w:type="band1Horz">
      <w:tblPr/>
      <w:tcPr>
        <w:tcBorders>
          <w:left w:val="nil"/>
          <w:right w:val="nil"/>
          <w:insideH w:val="nil"/>
          <w:insideV w:val="nil"/>
        </w:tcBorders>
        <w:shd w:val="clear" w:color="auto" w:fill="DFD8E8" w:themeFill="accent4" w:themeFillTint="3F"/>
      </w:tcPr>
    </w:tblStylePr>
    <w:tblStylePr w:type="lastRow">
      <w:pPr>
        <w:spacing w:before="0" w:after="0" w:line="240" w:lineRule="auto"/>
      </w:pPr>
      <w:rPr>
        <w:b w:val="1"/>
        <w:bCs w:val="1"/>
      </w:rPr>
      <w:tblPr/>
      <w:tcPr>
        <w:tcBorders>
          <w:top w:val="single" w:color="8064A2" w:themeColor="accent4" w:sz="8" w:space="0"/>
          <w:left w:val="nil"/>
          <w:bottom w:val="single" w:color="8064A2" w:themeColor="accent4" w:sz="8" w:space="0"/>
          <w:right w:val="nil"/>
          <w:insideH w:val="nil"/>
          <w:insideV w:val="nil"/>
        </w:tcBorders>
      </w:tcPr>
    </w:tblStylePr>
    <w:tblStylePr w:type="firstRow">
      <w:pPr>
        <w:spacing w:before="0" w:after="0" w:line="240" w:lineRule="auto"/>
      </w:pPr>
      <w:rPr>
        <w:b w:val="1"/>
        <w:bCs w:val="1"/>
      </w:rPr>
      <w:tblPr/>
      <w:tcPr>
        <w:tcBorders>
          <w:top w:val="single" w:color="8064A2" w:themeColor="accent4" w:sz="8" w:space="0"/>
          <w:left w:val="nil"/>
          <w:bottom w:val="single" w:color="8064A2" w:themeColor="accent4" w:sz="8" w:space="0"/>
          <w:right w:val="nil"/>
          <w:insideH w:val="nil"/>
          <w:insideV w:val="nil"/>
        </w:tcBorders>
      </w:tcPr>
    </w:tblStylePr>
  </w:style>
  <w:style w:type="table" w:styleId="00005b">
    <w:name w:val="Light Grid Accent 3"/>
    <w:basedOn w:val="00001a"/>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firstRow">
      <w:pPr>
        <w:spacing w:before="0" w:after="0" w:line="240" w:lineRule="auto"/>
      </w:pPr>
      <w:rPr>
        <w:rFonts w:asciiTheme="majorHAnsi" w:hAnsiTheme="majorHAnsi" w:eastAsiaTheme="majorEastAsia" w:cstheme="majorBidi"/>
        <w:b w:val="1"/>
        <w:bCs w:val="1"/>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Col">
      <w:rPr>
        <w:rFonts w:asciiTheme="majorHAnsi" w:hAnsiTheme="majorHAnsi" w:eastAsiaTheme="majorEastAsia" w:cstheme="majorBidi"/>
        <w:b w:val="1"/>
        <w:bCs w:val="1"/>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val="1"/>
        <w:bCs w:val="1"/>
      </w:r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000092">
    <w:name w:val="Dark List Accent 2"/>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band1Vert">
      <w:tblPr/>
      <w:tcPr>
        <w:tcBorders>
          <w:top w:val="nil"/>
          <w:left w:val="nil"/>
          <w:bottom w:val="nil"/>
          <w:right w:val="nil"/>
          <w:insideH w:val="nil"/>
          <w:insideV w:val="nil"/>
        </w:tcBorders>
        <w:shd w:val="clear" w:color="auto" w:fill="943634" w:themeFill="accent2" w:themeFillShade="B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band1Horz">
      <w:tblPr/>
      <w:tcPr>
        <w:tcBorders>
          <w:top w:val="nil"/>
          <w:left w:val="nil"/>
          <w:bottom w:val="nil"/>
          <w:right w:val="nil"/>
          <w:insideH w:val="nil"/>
          <w:insideV w:val="nil"/>
        </w:tcBorders>
        <w:shd w:val="clear" w:color="auto" w:fill="943634" w:themeFill="accent2"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style>
  <w:style w:type="table" w:styleId="000069">
    <w:name w:val="Medium Shading 2 Accent 3"/>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neCell">
      <w:tblPr/>
      <w:tcPr>
        <w:tcBorders>
          <w:top w:val="single" w:color="auto" w:sz="18" w:space="0"/>
          <w:left w:val="nil"/>
          <w:bottom w:val="single" w:color="auto" w:sz="18" w:space="0"/>
          <w:right w:val="nil"/>
          <w:insideH w:val="nil"/>
          <w:insideV w:val="nil"/>
        </w:tcBorders>
      </w:tcPr>
    </w:tblStylePr>
    <w:tblStylePr w:type="lastCol">
      <w:rPr>
        <w:b w:val="1"/>
        <w:bCs w:val="1"/>
        <w:color w:val="FFFFFF" w:themeColor="background1"/>
      </w:rPr>
      <w:tblPr/>
      <w:tcPr>
        <w:tcBorders>
          <w:left w:val="nil"/>
          <w:right w:val="nil"/>
          <w:insideH w:val="nil"/>
          <w:insideV w:val="nil"/>
        </w:tcBorders>
        <w:shd w:val="clear" w:color="auto" w:fill="9BBB59" w:themeFill="accent3"/>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band1Horz">
      <w:tblPr/>
      <w:tcPr>
        <w:shd w:val="clear" w:color="auto" w:fill="D8D8D8" w:themeFill="background1" w:themeFillShade="D8"/>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9BBB59" w:themeFill="accent3"/>
      </w:tcPr>
    </w:tblStylePr>
  </w:style>
  <w:style w:type="character" w:styleId="00000d" w:customStyle="1">
    <w:name w:val="Heading 3 Char"/>
    <w:basedOn w:val="000005"/>
    <w:link w:val="00000c"/>
    <w:uiPriority w:val="9"/>
    <w:rsid w:val="00FC693F"/>
    <w:rPr>
      <w:rFonts w:asciiTheme="majorHAnsi" w:hAnsiTheme="majorHAnsi" w:eastAsiaTheme="majorEastAsia" w:cstheme="majorBidi"/>
      <w:b w:val="1"/>
      <w:bCs w:val="1"/>
      <w:color w:val="4F81BD" w:themeColor="accent1"/>
    </w:rPr>
  </w:style>
  <w:style w:type="table" w:styleId="000094">
    <w:name w:val="Dark List Accent 4"/>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band1Horz">
      <w:tblPr/>
      <w:tcPr>
        <w:tcBorders>
          <w:top w:val="nil"/>
          <w:left w:val="nil"/>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style>
  <w:style w:type="table" w:styleId="00004a">
    <w:name w:val="Light Shading"/>
    <w:basedOn w:val="00001a"/>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single" w:color="000000" w:themeColor="text1" w:sz="8" w:space="0"/>
          <w:left w:val="nil"/>
          <w:bottom w:val="single" w:color="000000" w:themeColor="text1" w:sz="8" w:space="0"/>
          <w:right w:val="nil"/>
          <w:insideH w:val="nil"/>
          <w:insideV w:val="nil"/>
        </w:tcBorders>
      </w:tcPr>
    </w:tblStylePr>
    <w:tblStylePr w:type="band1Horz">
      <w:tblPr/>
      <w:tcPr>
        <w:tcBorders>
          <w:left w:val="nil"/>
          <w:right w:val="nil"/>
          <w:insideH w:val="nil"/>
          <w:insideV w:val="nil"/>
        </w:tcBorders>
        <w:shd w:val="clear" w:color="auto" w:fill="C0C0C0" w:themeFill="text1" w:themeFillTint="3F"/>
      </w:tcPr>
    </w:tblStylePr>
    <w:tblStylePr w:type="band1Vert">
      <w:tblPr/>
      <w:tcPr>
        <w:tcBorders>
          <w:left w:val="nil"/>
          <w:right w:val="nil"/>
          <w:insideH w:val="nil"/>
          <w:insideV w:val="nil"/>
        </w:tcBorders>
        <w:shd w:val="clear" w:color="auto" w:fill="C0C0C0" w:themeFill="text1" w:themeFillTint="3F"/>
      </w:tcPr>
    </w:tblStylePr>
    <w:tblStylePr w:type="firstRow">
      <w:pPr>
        <w:spacing w:before="0" w:after="0" w:line="240" w:lineRule="auto"/>
      </w:pPr>
      <w:rPr>
        <w:b w:val="1"/>
        <w:bCs w:val="1"/>
      </w:rPr>
      <w:tblPr/>
      <w:tcPr>
        <w:tcBorders>
          <w:top w:val="single" w:color="000000" w:themeColor="text1" w:sz="8" w:space="0"/>
          <w:left w:val="nil"/>
          <w:bottom w:val="single" w:color="000000" w:themeColor="text1" w:sz="8" w:space="0"/>
          <w:right w:val="nil"/>
          <w:insideH w:val="nil"/>
          <w:insideV w:val="nil"/>
        </w:tcBorders>
      </w:tcPr>
    </w:tblStylePr>
    <w:tblStylePr w:type="firstCol">
      <w:rPr>
        <w:b w:val="1"/>
        <w:bCs w:val="1"/>
      </w:rPr>
    </w:tblStylePr>
    <w:tblStylePr w:type="lastCol">
      <w:rPr>
        <w:b w:val="1"/>
        <w:bCs w:val="1"/>
      </w:rPr>
    </w:tblStylePr>
  </w:style>
  <w:style w:type="character" w:styleId="000045">
    <w:name w:val="Subtle Reference"/>
    <w:basedOn w:val="000005"/>
    <w:uiPriority w:val="31"/>
    <w:qFormat w:val="1"/>
    <w:rsid w:val="00FC693F"/>
    <w:rPr>
      <w:smallCaps w:val="1"/>
      <w:color w:val="C0504D" w:themeColor="accent2"/>
      <w:u w:val="single"/>
    </w:rPr>
  </w:style>
  <w:style w:type="character" w:styleId="000044">
    <w:name w:val="Intense Emphasis"/>
    <w:basedOn w:val="000005"/>
    <w:uiPriority w:val="21"/>
    <w:qFormat w:val="1"/>
    <w:rsid w:val="00FC693F"/>
    <w:rPr>
      <w:b w:val="1"/>
      <w:bCs w:val="1"/>
      <w:i w:val="1"/>
      <w:iCs w:val="1"/>
      <w:color w:val="4F81BD" w:themeColor="accent1"/>
    </w:rPr>
  </w:style>
  <w:style w:type="paragraph" w:styleId="000003">
    <w:name w:val="header"/>
    <w:basedOn w:val="000002"/>
    <w:link w:val="000004"/>
    <w:uiPriority w:val="99"/>
    <w:unhideWhenUsed w:val="1"/>
    <w:rsid w:val="00E618BF"/>
    <w:pPr>
      <w:tabs>
        <w:tab w:val="center" w:pos="4680"/>
        <w:tab w:val="right" w:pos="9360"/>
      </w:tabs>
      <w:spacing w:after="0" w:line="240" w:lineRule="auto"/>
    </w:pPr>
  </w:style>
  <w:style w:type="character" w:styleId="00003f">
    <w:name w:val="Strong"/>
    <w:basedOn w:val="000005"/>
    <w:uiPriority w:val="22"/>
    <w:qFormat w:val="1"/>
    <w:rsid w:val="00FC693F"/>
    <w:rPr>
      <w:b w:val="1"/>
      <w:bCs w:val="1"/>
    </w:rPr>
  </w:style>
  <w:style w:type="table" w:styleId="000067">
    <w:name w:val="Medium Shading 2 Accent 1"/>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band1Horz">
      <w:tblPr/>
      <w:tcPr>
        <w:shd w:val="clear" w:color="auto" w:fill="D8D8D8" w:themeFill="background1" w:themeFillShade="D8"/>
      </w:tcPr>
    </w:tblStylePr>
    <w:tblStylePr w:type="lastCol">
      <w:rPr>
        <w:b w:val="1"/>
        <w:bCs w:val="1"/>
        <w:color w:val="FFFFFF" w:themeColor="background1"/>
      </w:rPr>
      <w:tblPr/>
      <w:tcPr>
        <w:tcBorders>
          <w:left w:val="nil"/>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neCell">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style>
  <w:style w:type="table" w:styleId="000081">
    <w:name w:val="Medium Grid 1 Accent 6"/>
    <w:basedOn w:val="00001a"/>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lastCol">
      <w:rPr>
        <w:b w:val="1"/>
        <w:bCs w:val="1"/>
      </w:rPr>
    </w:tblStylePr>
    <w:tblStylePr w:type="band1Vert">
      <w:tblPr/>
      <w:tcPr>
        <w:shd w:val="clear" w:color="auto" w:fill="FBCAA2" w:themeFill="accent6" w:themeFillTint="7F"/>
      </w:tcPr>
    </w:tblStylePr>
    <w:tblStylePr w:type="lastRow">
      <w:rPr>
        <w:b w:val="1"/>
        <w:bCs w:val="1"/>
      </w:rPr>
      <w:tblPr/>
      <w:tcPr>
        <w:tcBorders>
          <w:top w:val="single" w:color="F9B074" w:themeColor="accent6" w:themeTint="BF" w:sz="18" w:space="0"/>
        </w:tcBorders>
      </w:tcPr>
    </w:tblStylePr>
    <w:tblStylePr w:type="band1Horz">
      <w:tblPr/>
      <w:tcPr>
        <w:shd w:val="clear" w:color="auto" w:fill="FBCAA2" w:themeFill="accent6" w:themeFillTint="7F"/>
      </w:tcPr>
    </w:tblStylePr>
    <w:tblStylePr w:type="firstRow">
      <w:rPr>
        <w:b w:val="1"/>
        <w:bCs w:val="1"/>
      </w:rPr>
    </w:tblStylePr>
    <w:tblStylePr w:type="firstCol">
      <w:rPr>
        <w:b w:val="1"/>
        <w:bCs w:val="1"/>
      </w:rPr>
    </w:tblStylePr>
  </w:style>
  <w:style w:type="paragraph" w:styleId="000018">
    <w:name w:val="heading 9"/>
    <w:basedOn w:val="000002"/>
    <w:next w:val="000002"/>
    <w:link w:val="000019"/>
    <w:uiPriority w:val="9"/>
    <w:semiHidden w:val="1"/>
    <w:unhideWhenUsed w:val="1"/>
    <w:qFormat w:val="1"/>
    <w:rsid w:val="00FC693F"/>
    <w:pPr>
      <w:keepNext w:val="1"/>
      <w:keepLines w:val="1"/>
      <w:spacing w:before="200" w:after="0"/>
      <w:outlineLvl w:val="8"/>
    </w:pPr>
    <w:rPr>
      <w:rFonts w:asciiTheme="majorHAnsi" w:hAnsiTheme="majorHAnsi" w:eastAsiaTheme="majorEastAsia" w:cstheme="majorBidi"/>
      <w:i w:val="1"/>
      <w:iCs w:val="1"/>
      <w:color w:val="404040" w:themeColor="text1" w:themeTint="BF"/>
      <w:sz w:val="20"/>
      <w:szCs w:val="20"/>
    </w:rPr>
  </w:style>
  <w:style w:type="paragraph" w:styleId="000030">
    <w:name w:val="List Bullet 3"/>
    <w:basedOn w:val="000002"/>
    <w:uiPriority w:val="99"/>
    <w:unhideWhenUsed w:val="1"/>
    <w:rsid w:val="00326F90"/>
    <w:pPr>
      <w:numPr>
        <w:numId w:val="8"/>
      </w:numPr>
      <w:contextualSpacing w:val="1"/>
    </w:pPr>
  </w:style>
  <w:style w:type="character" w:styleId="000019" w:customStyle="1">
    <w:name w:val="Heading 9 Char"/>
    <w:basedOn w:val="000005"/>
    <w:link w:val="000018"/>
    <w:uiPriority w:val="9"/>
    <w:semiHidden w:val="1"/>
    <w:rsid w:val="00FC693F"/>
    <w:rPr>
      <w:rFonts w:asciiTheme="majorHAnsi" w:hAnsiTheme="majorHAnsi" w:eastAsiaTheme="majorEastAsia" w:cstheme="majorBidi"/>
      <w:i w:val="1"/>
      <w:iCs w:val="1"/>
      <w:color w:val="404040" w:themeColor="text1" w:themeTint="BF"/>
      <w:sz w:val="20"/>
      <w:szCs w:val="20"/>
    </w:rPr>
  </w:style>
  <w:style w:type="table" w:styleId="000050">
    <w:name w:val="Light Shading Accent 6"/>
    <w:basedOn w:val="00001a"/>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val="1"/>
        <w:bCs w:val="1"/>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val="1"/>
        <w:bCs w:val="1"/>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val="1"/>
        <w:bCs w:val="1"/>
      </w:rPr>
    </w:tblStylePr>
    <w:tblStylePr w:type="band1Horz">
      <w:tblPr/>
      <w:tcPr>
        <w:tcBorders>
          <w:left w:val="nil"/>
          <w:right w:val="nil"/>
          <w:insideH w:val="nil"/>
          <w:insideV w:val="nil"/>
        </w:tcBorders>
        <w:shd w:val="clear" w:color="auto" w:fill="FDE4D0" w:themeFill="accent6" w:themeFillTint="3F"/>
      </w:tcPr>
    </w:tblStylePr>
    <w:tblStylePr w:type="band1Vert">
      <w:tblPr/>
      <w:tcPr>
        <w:tcBorders>
          <w:left w:val="nil"/>
          <w:right w:val="nil"/>
          <w:insideH w:val="nil"/>
          <w:insideV w:val="nil"/>
        </w:tcBorders>
        <w:shd w:val="clear" w:color="auto" w:fill="FDE4D0" w:themeFill="accent6" w:themeFillTint="3F"/>
      </w:tcPr>
    </w:tblStylePr>
    <w:tblStylePr w:type="lastCol">
      <w:rPr>
        <w:b w:val="1"/>
        <w:bCs w:val="1"/>
      </w:rPr>
    </w:tblStylePr>
  </w:style>
  <w:style w:type="table" w:styleId="000087">
    <w:name w:val="Medium Grid 2 Accent 5"/>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band1Vert">
      <w:tblPr/>
      <w:tcPr>
        <w:shd w:val="clear" w:color="auto" w:fill="A5D5E2" w:themeFill="accent5" w:themeFillTint="7F"/>
      </w:tcPr>
    </w:tblStylePr>
    <w:tblStylePr w:type="firstRow">
      <w:rPr>
        <w:b w:val="1"/>
        <w:bCs w:val="1"/>
        <w:color w:val="000000" w:themeColor="text1"/>
      </w:rPr>
      <w:tblPr/>
      <w:tcPr>
        <w:shd w:val="clear" w:color="auto" w:fill="EDF6F9" w:themeFill="accent5" w:themeFillTint="19"/>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000095">
    <w:name w:val="Dark List Accent 5"/>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style>
  <w:style w:type="paragraph" w:styleId="000028">
    <w:name w:val="List"/>
    <w:basedOn w:val="000002"/>
    <w:uiPriority w:val="99"/>
    <w:unhideWhenUsed w:val="1"/>
    <w:rsid w:val="00AA1D8D"/>
    <w:pPr>
      <w:ind w:left="360" w:hanging="360"/>
      <w:contextualSpacing w:val="1"/>
    </w:pPr>
  </w:style>
  <w:style w:type="table" w:styleId="00006e">
    <w:name w:val="Medium List 1 Accent 1"/>
    <w:basedOn w:val="00001a"/>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Col">
      <w:rPr>
        <w:b w:val="1"/>
        <w:bCs w:val="1"/>
      </w:rPr>
    </w:tblStylePr>
    <w:tblStylePr w:type="lastRow">
      <w:rPr>
        <w:b w:val="1"/>
        <w:bCs w:val="1"/>
        <w:color w:val="1F497D" w:themeColor="text2"/>
      </w:rPr>
      <w:tblPr/>
      <w:tcPr>
        <w:tcBorders>
          <w:top w:val="single" w:color="4F81BD" w:themeColor="accent1" w:sz="8" w:space="0"/>
          <w:bottom w:val="single" w:color="4F81BD" w:themeColor="accent1" w:sz="8" w:space="0"/>
        </w:tcBorders>
      </w:tcPr>
    </w:tblStylePr>
    <w:tblStylePr w:type="band1Horz">
      <w:tblPr/>
      <w:tcPr>
        <w:shd w:val="clear" w:color="auto" w:fill="D3DFEE" w:themeFill="accent1" w:themeFillTint="3F"/>
      </w:tcPr>
    </w:tblStyle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band1Vert">
      <w:tblPr/>
      <w:tcPr>
        <w:shd w:val="clear" w:color="auto" w:fill="D3DFEE" w:themeFill="accent1" w:themeFillTint="3F"/>
      </w:tcPr>
    </w:tblStylePr>
    <w:tblStylePr w:type="lastCol">
      <w:rPr>
        <w:b w:val="1"/>
        <w:bCs w:val="1"/>
      </w:rPr>
      <w:tblPr/>
      <w:tcPr>
        <w:tcBorders>
          <w:top w:val="single" w:color="4F81BD" w:themeColor="accent1" w:sz="8" w:space="0"/>
          <w:bottom w:val="single" w:color="4F81BD" w:themeColor="accent1" w:sz="8" w:space="0"/>
        </w:tcBorders>
      </w:tcPr>
    </w:tblStylePr>
  </w:style>
  <w:style w:type="character" w:styleId="00000b" w:customStyle="1">
    <w:name w:val="Heading 2 Char"/>
    <w:basedOn w:val="000005"/>
    <w:link w:val="00000a"/>
    <w:uiPriority w:val="9"/>
    <w:rsid w:val="00FC693F"/>
    <w:rPr>
      <w:rFonts w:asciiTheme="majorHAnsi" w:hAnsiTheme="majorHAnsi" w:eastAsiaTheme="majorEastAsia" w:cstheme="majorBidi"/>
      <w:b w:val="1"/>
      <w:bCs w:val="1"/>
      <w:color w:val="4F81BD" w:themeColor="accent1"/>
      <w:sz w:val="26"/>
      <w:szCs w:val="26"/>
    </w:rPr>
  </w:style>
</w:styles>
</file>

<file path=word/_rels/document.xml.rels><?xml version="1.0" encoding="UTF-8" standalone="yes"?><Relationships xmlns="http://schemas.openxmlformats.org/package/2006/relationships"><Relationship Id="rId5" Type="http://schemas.openxmlformats.org/officeDocument/2006/relationships/footer" Target="footer1.xml" /><Relationship Id="rId3" Type="http://schemas.openxmlformats.org/officeDocument/2006/relationships/theme" Target="theme/theme1.xml" /><Relationship Id="rId2" Type="http://schemas.openxmlformats.org/officeDocument/2006/relationships/fontTable" Target="fontTable.xml" /><Relationship Id="rId4" Type="http://schemas.openxmlformats.org/officeDocument/2006/relationships/numbering" Target="numbering.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2026-10-28T20:44:33Z</dcterms:created>
  <dcterms:modified xsi:type="dcterms:W3CDTF">2026-10-28T20:44:33Z</dcterms:modified>
</cp:coreProperties>
</file>